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F7" w:rsidRDefault="00C200F7" w:rsidP="00C200F7">
      <w:pPr>
        <w:tabs>
          <w:tab w:val="left" w:pos="180"/>
        </w:tabs>
        <w:spacing w:after="0"/>
        <w:ind w:left="187"/>
        <w:jc w:val="center"/>
        <w:rPr>
          <w:rFonts w:eastAsiaTheme="minorHAnsi"/>
          <w:b/>
          <w:sz w:val="28"/>
          <w:szCs w:val="28"/>
        </w:rPr>
      </w:pPr>
    </w:p>
    <w:p w:rsidR="00C200F7" w:rsidRPr="00C200F7" w:rsidRDefault="00C200F7" w:rsidP="00C200F7">
      <w:pPr>
        <w:tabs>
          <w:tab w:val="left" w:pos="180"/>
        </w:tabs>
        <w:ind w:left="180"/>
        <w:jc w:val="center"/>
        <w:rPr>
          <w:rFonts w:eastAsiaTheme="minorHAnsi"/>
          <w:b/>
          <w:sz w:val="28"/>
          <w:szCs w:val="28"/>
        </w:rPr>
      </w:pPr>
      <w:r w:rsidRPr="00C200F7">
        <w:rPr>
          <w:rFonts w:eastAsiaTheme="minorHAnsi"/>
          <w:b/>
          <w:sz w:val="28"/>
          <w:szCs w:val="28"/>
        </w:rPr>
        <w:t>Fact Sheet: Insulin Pen Safety in Hospitals</w:t>
      </w:r>
    </w:p>
    <w:p w:rsidR="00C43DF0" w:rsidRPr="00C43DF0" w:rsidRDefault="00C43DF0" w:rsidP="00C200F7">
      <w:pPr>
        <w:tabs>
          <w:tab w:val="left" w:pos="180"/>
        </w:tabs>
        <w:ind w:left="180"/>
        <w:rPr>
          <w:rFonts w:eastAsiaTheme="minorHAnsi"/>
        </w:rPr>
      </w:pPr>
      <w:r w:rsidRPr="00C43DF0">
        <w:rPr>
          <w:rFonts w:eastAsiaTheme="minorHAnsi"/>
        </w:rPr>
        <w:t>The use of insulin pens instead of traditional vials and syringes is preferred by many health care providers and patients in the hospital setting because pens provide</w:t>
      </w:r>
    </w:p>
    <w:p w:rsidR="00C43DF0" w:rsidRPr="00C43DF0" w:rsidRDefault="00C43DF0" w:rsidP="00C200F7">
      <w:pPr>
        <w:tabs>
          <w:tab w:val="left" w:pos="900"/>
        </w:tabs>
        <w:spacing w:after="120"/>
        <w:ind w:left="900" w:hanging="360"/>
        <w:contextualSpacing/>
        <w:rPr>
          <w:rFonts w:eastAsiaTheme="minorHAnsi"/>
        </w:rPr>
      </w:pPr>
      <w:r w:rsidRPr="00C43DF0">
        <w:rPr>
          <w:rFonts w:eastAsiaTheme="minorHAnsi"/>
        </w:rPr>
        <w:t>•</w:t>
      </w:r>
      <w:r w:rsidRPr="00C43DF0">
        <w:rPr>
          <w:rFonts w:eastAsiaTheme="minorHAnsi"/>
        </w:rPr>
        <w:tab/>
        <w:t>Improved dosing accuracy</w:t>
      </w:r>
    </w:p>
    <w:p w:rsidR="00C43DF0" w:rsidRPr="00C43DF0" w:rsidRDefault="00C43DF0" w:rsidP="00C200F7">
      <w:pPr>
        <w:tabs>
          <w:tab w:val="left" w:pos="540"/>
          <w:tab w:val="left" w:pos="900"/>
        </w:tabs>
        <w:spacing w:after="120"/>
        <w:ind w:left="540"/>
        <w:contextualSpacing/>
        <w:rPr>
          <w:rFonts w:eastAsiaTheme="minorHAnsi"/>
        </w:rPr>
      </w:pPr>
      <w:r w:rsidRPr="00C43DF0">
        <w:rPr>
          <w:rFonts w:eastAsiaTheme="minorHAnsi"/>
        </w:rPr>
        <w:t>•</w:t>
      </w:r>
      <w:r w:rsidRPr="00C43DF0">
        <w:rPr>
          <w:rFonts w:eastAsiaTheme="minorHAnsi"/>
        </w:rPr>
        <w:tab/>
        <w:t>Time savings due to faster dose preparation and administration</w:t>
      </w:r>
    </w:p>
    <w:p w:rsidR="00C43DF0" w:rsidRPr="00C43DF0" w:rsidRDefault="00C43DF0" w:rsidP="00C200F7">
      <w:pPr>
        <w:tabs>
          <w:tab w:val="left" w:pos="540"/>
          <w:tab w:val="left" w:pos="900"/>
        </w:tabs>
        <w:spacing w:after="120"/>
        <w:ind w:left="540"/>
        <w:contextualSpacing/>
        <w:rPr>
          <w:rFonts w:eastAsiaTheme="minorHAnsi"/>
        </w:rPr>
      </w:pPr>
      <w:r w:rsidRPr="00C43DF0">
        <w:rPr>
          <w:rFonts w:eastAsiaTheme="minorHAnsi"/>
        </w:rPr>
        <w:t>•</w:t>
      </w:r>
      <w:r w:rsidRPr="00C43DF0">
        <w:rPr>
          <w:rFonts w:eastAsiaTheme="minorHAnsi"/>
        </w:rPr>
        <w:tab/>
        <w:t>Lower risk for hypoglycemia in the ambulatory setting</w:t>
      </w:r>
    </w:p>
    <w:p w:rsidR="00C43DF0" w:rsidRPr="00C43DF0" w:rsidRDefault="00C43DF0" w:rsidP="00C200F7">
      <w:pPr>
        <w:tabs>
          <w:tab w:val="left" w:pos="540"/>
          <w:tab w:val="left" w:pos="900"/>
        </w:tabs>
        <w:ind w:left="540"/>
        <w:rPr>
          <w:rFonts w:eastAsiaTheme="minorHAnsi"/>
        </w:rPr>
      </w:pPr>
      <w:r w:rsidRPr="00C43DF0">
        <w:rPr>
          <w:rFonts w:eastAsiaTheme="minorHAnsi"/>
        </w:rPr>
        <w:t>•</w:t>
      </w:r>
      <w:r w:rsidRPr="00C43DF0">
        <w:rPr>
          <w:rFonts w:eastAsiaTheme="minorHAnsi"/>
        </w:rPr>
        <w:tab/>
        <w:t>Lower health care use rates and costs</w:t>
      </w:r>
    </w:p>
    <w:p w:rsidR="00C43DF0" w:rsidRPr="00C43DF0" w:rsidRDefault="00C43DF0" w:rsidP="00C200F7">
      <w:pPr>
        <w:tabs>
          <w:tab w:val="left" w:pos="180"/>
        </w:tabs>
        <w:ind w:left="180"/>
        <w:rPr>
          <w:rFonts w:eastAsiaTheme="minorHAnsi"/>
        </w:rPr>
      </w:pPr>
      <w:r w:rsidRPr="00C43DF0">
        <w:rPr>
          <w:rFonts w:eastAsiaTheme="minorHAnsi"/>
        </w:rPr>
        <w:t xml:space="preserve">Insulin pens are intended for the administration of multiple doses to the same patient using a new needle for each dose. Sharing of insulin pens among multiple patients may expose patients to blood-borne pathogens (e.g., HIV, hepatitis B virus, and hepatitis C virus), even if the needle is changed because  </w:t>
      </w:r>
    </w:p>
    <w:p w:rsidR="00C43DF0" w:rsidRPr="00C43DF0" w:rsidRDefault="00C43DF0" w:rsidP="00C200F7">
      <w:pPr>
        <w:numPr>
          <w:ilvl w:val="0"/>
          <w:numId w:val="8"/>
        </w:numPr>
        <w:tabs>
          <w:tab w:val="left" w:pos="900"/>
        </w:tabs>
        <w:ind w:left="900" w:hanging="360"/>
        <w:contextualSpacing/>
        <w:rPr>
          <w:rFonts w:eastAsiaTheme="minorHAnsi"/>
        </w:rPr>
      </w:pPr>
      <w:r w:rsidRPr="00C43DF0">
        <w:rPr>
          <w:rFonts w:eastAsiaTheme="minorHAnsi"/>
        </w:rPr>
        <w:t>Reverse flow of blood and other biological material from patients into insulin pen reservoirs or cartridges has been documented.</w:t>
      </w:r>
    </w:p>
    <w:p w:rsidR="00C43DF0" w:rsidRPr="00C43DF0" w:rsidRDefault="00C43DF0" w:rsidP="00C200F7">
      <w:pPr>
        <w:numPr>
          <w:ilvl w:val="0"/>
          <w:numId w:val="8"/>
        </w:numPr>
        <w:tabs>
          <w:tab w:val="left" w:pos="900"/>
        </w:tabs>
        <w:ind w:left="907" w:hanging="360"/>
        <w:rPr>
          <w:rFonts w:eastAsiaTheme="minorHAnsi"/>
        </w:rPr>
      </w:pPr>
      <w:r w:rsidRPr="00C43DF0">
        <w:rPr>
          <w:rFonts w:eastAsiaTheme="minorHAnsi"/>
        </w:rPr>
        <w:t>Although insulin pen reservoirs and cartridges contain antimicrobial agents, these agents are ineffective against viruses.</w:t>
      </w:r>
    </w:p>
    <w:p w:rsidR="00C43DF0" w:rsidRPr="00C43DF0" w:rsidRDefault="00C43DF0" w:rsidP="00C200F7">
      <w:pPr>
        <w:tabs>
          <w:tab w:val="left" w:pos="180"/>
        </w:tabs>
        <w:ind w:left="180"/>
        <w:rPr>
          <w:rFonts w:eastAsiaTheme="minorHAnsi"/>
        </w:rPr>
      </w:pPr>
      <w:r w:rsidRPr="00C43DF0">
        <w:rPr>
          <w:rFonts w:eastAsiaTheme="minorHAnsi"/>
        </w:rPr>
        <w:t>Errors involving sharing of insulin pens have occurred despite warnings about the danger of the practice from the CDC, Food and Drug Administration, and other authoritative groups. Therefore, additional efforts are needed to prevent the sharing of insulin pens and ensure their safe use in hospitals. Possible strategies include</w:t>
      </w:r>
    </w:p>
    <w:p w:rsidR="00C43DF0" w:rsidRPr="00C43DF0" w:rsidRDefault="00C43DF0" w:rsidP="00C200F7">
      <w:pPr>
        <w:numPr>
          <w:ilvl w:val="0"/>
          <w:numId w:val="8"/>
        </w:numPr>
        <w:tabs>
          <w:tab w:val="left" w:pos="900"/>
        </w:tabs>
        <w:ind w:left="900" w:hanging="360"/>
        <w:contextualSpacing/>
        <w:rPr>
          <w:rFonts w:eastAsiaTheme="minorHAnsi"/>
        </w:rPr>
      </w:pPr>
      <w:r w:rsidRPr="00C43DF0">
        <w:rPr>
          <w:rFonts w:eastAsiaTheme="minorHAnsi"/>
        </w:rPr>
        <w:t>Labeling pens for specific patients and prohibiting pen use for patients other than the individual on the label</w:t>
      </w:r>
    </w:p>
    <w:p w:rsidR="00C43DF0" w:rsidRPr="00C43DF0" w:rsidRDefault="00C43DF0" w:rsidP="00C200F7">
      <w:pPr>
        <w:numPr>
          <w:ilvl w:val="0"/>
          <w:numId w:val="8"/>
        </w:numPr>
        <w:tabs>
          <w:tab w:val="left" w:pos="900"/>
        </w:tabs>
        <w:ind w:left="900" w:hanging="360"/>
        <w:contextualSpacing/>
        <w:rPr>
          <w:rFonts w:eastAsiaTheme="minorHAnsi"/>
        </w:rPr>
      </w:pPr>
      <w:r w:rsidRPr="00C43DF0">
        <w:rPr>
          <w:rFonts w:eastAsiaTheme="minorHAnsi"/>
        </w:rPr>
        <w:t>Storing pens in patient-specific locations</w:t>
      </w:r>
    </w:p>
    <w:p w:rsidR="00C43DF0" w:rsidRPr="00C43DF0" w:rsidRDefault="00C43DF0" w:rsidP="00C200F7">
      <w:pPr>
        <w:numPr>
          <w:ilvl w:val="0"/>
          <w:numId w:val="8"/>
        </w:numPr>
        <w:tabs>
          <w:tab w:val="left" w:pos="900"/>
        </w:tabs>
        <w:ind w:left="907" w:hanging="360"/>
        <w:rPr>
          <w:rFonts w:eastAsiaTheme="minorHAnsi"/>
        </w:rPr>
      </w:pPr>
      <w:r w:rsidRPr="00C43DF0">
        <w:rPr>
          <w:rFonts w:eastAsiaTheme="minorHAnsi"/>
        </w:rPr>
        <w:t xml:space="preserve">Developing barcode functionality that ensures that insulin administered in a pen device is both the correct type of insulin and is the specific insulin pen intended for the patient </w:t>
      </w:r>
    </w:p>
    <w:p w:rsidR="00C43DF0" w:rsidRPr="00C43DF0" w:rsidRDefault="00C43DF0" w:rsidP="00C200F7">
      <w:pPr>
        <w:tabs>
          <w:tab w:val="left" w:pos="180"/>
        </w:tabs>
        <w:ind w:left="180"/>
        <w:rPr>
          <w:rFonts w:eastAsiaTheme="minorHAnsi"/>
        </w:rPr>
      </w:pPr>
      <w:r w:rsidRPr="00C43DF0">
        <w:rPr>
          <w:rFonts w:eastAsiaTheme="minorHAnsi"/>
        </w:rPr>
        <w:t xml:space="preserve">An </w:t>
      </w:r>
      <w:proofErr w:type="spellStart"/>
      <w:r w:rsidRPr="00C43DF0">
        <w:rPr>
          <w:rFonts w:eastAsiaTheme="minorHAnsi"/>
        </w:rPr>
        <w:t>interprofessional</w:t>
      </w:r>
      <w:proofErr w:type="spellEnd"/>
      <w:r w:rsidRPr="00C43DF0">
        <w:rPr>
          <w:rFonts w:eastAsiaTheme="minorHAnsi"/>
        </w:rPr>
        <w:t xml:space="preserve"> effort by everyone involved in insulin use at the institution can improve patient safety and outcomes. Because of the seriousness of infection with HIV and hepatitis viruses, the Centers for Disease Control and Prevention (CDC) recommends the following prompt actions for all patients injected using a pen that was previously used for another patient, regardless of whether the needle was changed between patients:</w:t>
      </w:r>
    </w:p>
    <w:p w:rsidR="00C43DF0" w:rsidRPr="00C43DF0" w:rsidRDefault="00C43DF0" w:rsidP="00C200F7">
      <w:pPr>
        <w:numPr>
          <w:ilvl w:val="0"/>
          <w:numId w:val="8"/>
        </w:numPr>
        <w:tabs>
          <w:tab w:val="left" w:pos="900"/>
        </w:tabs>
        <w:ind w:left="900" w:hanging="360"/>
        <w:contextualSpacing/>
        <w:rPr>
          <w:rFonts w:eastAsiaTheme="minorHAnsi"/>
        </w:rPr>
      </w:pPr>
      <w:r w:rsidRPr="00C43DF0">
        <w:rPr>
          <w:rFonts w:eastAsiaTheme="minorHAnsi"/>
        </w:rPr>
        <w:t>Notification about the risk of infection</w:t>
      </w:r>
    </w:p>
    <w:p w:rsidR="00C43DF0" w:rsidRPr="00C43DF0" w:rsidRDefault="00C43DF0" w:rsidP="00C200F7">
      <w:pPr>
        <w:numPr>
          <w:ilvl w:val="0"/>
          <w:numId w:val="8"/>
        </w:numPr>
        <w:tabs>
          <w:tab w:val="left" w:pos="900"/>
        </w:tabs>
        <w:ind w:left="907" w:hanging="360"/>
        <w:rPr>
          <w:rFonts w:eastAsiaTheme="minorHAnsi"/>
        </w:rPr>
      </w:pPr>
      <w:r w:rsidRPr="00C43DF0">
        <w:rPr>
          <w:rFonts w:eastAsiaTheme="minorHAnsi"/>
        </w:rPr>
        <w:t>Testing for blood-borne pathogens</w:t>
      </w:r>
    </w:p>
    <w:p w:rsidR="00C43DF0" w:rsidRPr="00C43DF0" w:rsidRDefault="00C43DF0" w:rsidP="00C200F7">
      <w:pPr>
        <w:tabs>
          <w:tab w:val="left" w:pos="180"/>
        </w:tabs>
        <w:ind w:left="180"/>
        <w:rPr>
          <w:rFonts w:eastAsiaTheme="minorHAnsi"/>
        </w:rPr>
      </w:pPr>
      <w:r w:rsidRPr="00C43DF0">
        <w:rPr>
          <w:rFonts w:eastAsiaTheme="minorHAnsi"/>
        </w:rPr>
        <w:t>If an insulin pen error is detected during a survey of a Medicare- or Medicaid-certified provider by an accrediting organization, the surveyor must report the breach of infection control to the state public health authority.</w:t>
      </w:r>
    </w:p>
    <w:p w:rsidR="00C43DF0" w:rsidRPr="00C43DF0" w:rsidRDefault="00C43DF0" w:rsidP="00C200F7">
      <w:pPr>
        <w:tabs>
          <w:tab w:val="left" w:pos="180"/>
        </w:tabs>
        <w:ind w:left="180"/>
        <w:rPr>
          <w:b/>
        </w:rPr>
      </w:pPr>
      <w:r w:rsidRPr="00C43DF0">
        <w:rPr>
          <w:b/>
        </w:rPr>
        <w:lastRenderedPageBreak/>
        <w:t>References</w:t>
      </w:r>
    </w:p>
    <w:p w:rsidR="00C43DF0" w:rsidRPr="00C43DF0" w:rsidRDefault="00C43DF0" w:rsidP="00C200F7">
      <w:pPr>
        <w:tabs>
          <w:tab w:val="left" w:pos="180"/>
        </w:tabs>
        <w:ind w:left="180"/>
      </w:pPr>
      <w:proofErr w:type="gramStart"/>
      <w:r w:rsidRPr="00C43DF0">
        <w:t>Centers for Disease Control and Prevention.</w:t>
      </w:r>
      <w:proofErr w:type="gramEnd"/>
      <w:r w:rsidRPr="00C43DF0">
        <w:t xml:space="preserve"> CDC clinical reminder: insulin pens must never be used for more than one person. January 5, 2012. </w:t>
      </w:r>
      <w:hyperlink r:id="rId9" w:history="1">
        <w:r w:rsidRPr="00C43DF0">
          <w:rPr>
            <w:rStyle w:val="Hyperlink"/>
          </w:rPr>
          <w:t>http://www.cdc.gov/injectionsafety/PDF/Clinical-Reminder-insulin-pen.pdf</w:t>
        </w:r>
      </w:hyperlink>
      <w:r w:rsidRPr="00C43DF0">
        <w:t xml:space="preserve"> (accessed 2014 Jul 17).</w:t>
      </w:r>
    </w:p>
    <w:p w:rsidR="00C43DF0" w:rsidRPr="00C43DF0" w:rsidRDefault="00C43DF0" w:rsidP="00C200F7">
      <w:pPr>
        <w:tabs>
          <w:tab w:val="left" w:pos="180"/>
        </w:tabs>
        <w:ind w:left="180"/>
      </w:pPr>
      <w:r w:rsidRPr="00C43DF0">
        <w:t xml:space="preserve">Centers for Medicare and Medicaid Services. Infection control breaches which warrant referral to public health authorities. CMS Memo to State Survey Agency Directors. May 30, 2014. </w:t>
      </w:r>
      <w:hyperlink r:id="rId10" w:history="1">
        <w:r w:rsidRPr="00C43DF0">
          <w:rPr>
            <w:rStyle w:val="Hyperlink"/>
          </w:rPr>
          <w:t>https://www.cms.gov/Medicare/Provider-Enrollment-and-Certification/SurveyCertificationGenInfo/Downloads/Survey-and-Cert-Letter-14-36.pdf</w:t>
        </w:r>
      </w:hyperlink>
      <w:r w:rsidRPr="00C43DF0">
        <w:t xml:space="preserve"> (accessed 2014 Jul 17).</w:t>
      </w:r>
    </w:p>
    <w:p w:rsidR="00C43DF0" w:rsidRPr="00C43DF0" w:rsidRDefault="00C43DF0" w:rsidP="00C200F7">
      <w:pPr>
        <w:tabs>
          <w:tab w:val="left" w:pos="180"/>
        </w:tabs>
        <w:ind w:left="180"/>
      </w:pPr>
      <w:proofErr w:type="spellStart"/>
      <w:r w:rsidRPr="00C43DF0">
        <w:t>Hakre</w:t>
      </w:r>
      <w:proofErr w:type="spellEnd"/>
      <w:r w:rsidRPr="00C43DF0">
        <w:t xml:space="preserve"> S, Upshaw-Combs DR, Sanders-Buell EE et al. An investigation of bloodborne pathogen transmission due to multipatient sharing of insulin pens. </w:t>
      </w:r>
      <w:r w:rsidRPr="00C43DF0">
        <w:rPr>
          <w:i/>
        </w:rPr>
        <w:t>Mil Med</w:t>
      </w:r>
      <w:r w:rsidRPr="00C43DF0">
        <w:t>. 2012; 177:930-8.</w:t>
      </w:r>
    </w:p>
    <w:p w:rsidR="00C43DF0" w:rsidRPr="00C43DF0" w:rsidRDefault="00C43DF0" w:rsidP="00C200F7">
      <w:pPr>
        <w:tabs>
          <w:tab w:val="left" w:pos="180"/>
        </w:tabs>
        <w:ind w:left="180"/>
      </w:pPr>
      <w:proofErr w:type="spellStart"/>
      <w:r w:rsidRPr="00C43DF0">
        <w:t>Herdman</w:t>
      </w:r>
      <w:proofErr w:type="spellEnd"/>
      <w:r w:rsidRPr="00C43DF0">
        <w:t xml:space="preserve"> ML, </w:t>
      </w:r>
      <w:proofErr w:type="spellStart"/>
      <w:r w:rsidRPr="00C43DF0">
        <w:t>Larck</w:t>
      </w:r>
      <w:proofErr w:type="spellEnd"/>
      <w:r w:rsidRPr="00C43DF0">
        <w:t xml:space="preserve"> C, </w:t>
      </w:r>
      <w:proofErr w:type="spellStart"/>
      <w:r w:rsidRPr="00C43DF0">
        <w:t>Schliesser</w:t>
      </w:r>
      <w:proofErr w:type="spellEnd"/>
      <w:r w:rsidRPr="00C43DF0">
        <w:t xml:space="preserve"> SH, </w:t>
      </w:r>
      <w:proofErr w:type="spellStart"/>
      <w:r w:rsidRPr="00C43DF0">
        <w:t>Jelic</w:t>
      </w:r>
      <w:proofErr w:type="spellEnd"/>
      <w:r w:rsidRPr="00C43DF0">
        <w:t xml:space="preserve"> TM. Biological contamination of insulin pens in a hospital setting. </w:t>
      </w:r>
      <w:proofErr w:type="gramStart"/>
      <w:r w:rsidRPr="00C43DF0">
        <w:rPr>
          <w:i/>
        </w:rPr>
        <w:t>Am</w:t>
      </w:r>
      <w:proofErr w:type="gramEnd"/>
      <w:r w:rsidRPr="00C43DF0">
        <w:rPr>
          <w:i/>
        </w:rPr>
        <w:t xml:space="preserve"> J Health-</w:t>
      </w:r>
      <w:proofErr w:type="spellStart"/>
      <w:r w:rsidRPr="00C43DF0">
        <w:rPr>
          <w:i/>
        </w:rPr>
        <w:t>Syst</w:t>
      </w:r>
      <w:proofErr w:type="spellEnd"/>
      <w:r w:rsidRPr="00C43DF0">
        <w:rPr>
          <w:i/>
        </w:rPr>
        <w:t xml:space="preserve"> Pharm</w:t>
      </w:r>
      <w:r w:rsidRPr="00C43DF0">
        <w:t>. 2013; 70:1244-8.</w:t>
      </w:r>
    </w:p>
    <w:p w:rsidR="00C43DF0" w:rsidRPr="00C43DF0" w:rsidRDefault="00C43DF0" w:rsidP="00C200F7">
      <w:pPr>
        <w:tabs>
          <w:tab w:val="left" w:pos="180"/>
        </w:tabs>
        <w:ind w:left="180"/>
      </w:pPr>
      <w:r w:rsidRPr="00C43DF0">
        <w:t xml:space="preserve">Institute for Safe Medication Practices. Considering insulin pens for routine hospital use? Consider this…. May 8, 2008. </w:t>
      </w:r>
      <w:hyperlink r:id="rId11" w:history="1">
        <w:r w:rsidRPr="00C43DF0">
          <w:rPr>
            <w:rStyle w:val="Hyperlink"/>
          </w:rPr>
          <w:t>www.ismp.org/Newsletters/acutecare/articles/20080508.asp</w:t>
        </w:r>
      </w:hyperlink>
      <w:r w:rsidRPr="00C43DF0">
        <w:t xml:space="preserve"> (accessed 2014 Jul 17).</w:t>
      </w:r>
    </w:p>
    <w:p w:rsidR="00C43DF0" w:rsidRPr="00C43DF0" w:rsidRDefault="00C43DF0" w:rsidP="00C200F7">
      <w:pPr>
        <w:tabs>
          <w:tab w:val="left" w:pos="180"/>
        </w:tabs>
        <w:ind w:left="180"/>
      </w:pPr>
      <w:r w:rsidRPr="00C43DF0">
        <w:t xml:space="preserve">Le </w:t>
      </w:r>
      <w:proofErr w:type="spellStart"/>
      <w:r w:rsidRPr="00C43DF0">
        <w:t>Floch</w:t>
      </w:r>
      <w:proofErr w:type="spellEnd"/>
      <w:r w:rsidRPr="00C43DF0">
        <w:t xml:space="preserve"> JP, </w:t>
      </w:r>
      <w:proofErr w:type="spellStart"/>
      <w:r w:rsidRPr="00C43DF0">
        <w:t>Herbreteau</w:t>
      </w:r>
      <w:proofErr w:type="spellEnd"/>
      <w:r w:rsidRPr="00C43DF0">
        <w:t xml:space="preserve"> C, Lange G, </w:t>
      </w:r>
      <w:proofErr w:type="spellStart"/>
      <w:r w:rsidRPr="00C43DF0">
        <w:t>Perlemuter</w:t>
      </w:r>
      <w:proofErr w:type="spellEnd"/>
      <w:r w:rsidRPr="00C43DF0">
        <w:t xml:space="preserve"> L. Biologic material in needles and cartridges after insulin injection with a pen in diabetic patients. </w:t>
      </w:r>
      <w:r w:rsidRPr="00C43DF0">
        <w:rPr>
          <w:i/>
        </w:rPr>
        <w:t>Diabetes Care</w:t>
      </w:r>
      <w:r w:rsidRPr="00C43DF0">
        <w:t>. 1998; 21:1502-4.</w:t>
      </w:r>
    </w:p>
    <w:p w:rsidR="00C43DF0" w:rsidRPr="00C43DF0" w:rsidRDefault="00C43DF0" w:rsidP="00C200F7">
      <w:pPr>
        <w:tabs>
          <w:tab w:val="left" w:pos="180"/>
        </w:tabs>
        <w:ind w:left="180"/>
      </w:pPr>
      <w:proofErr w:type="spellStart"/>
      <w:r w:rsidRPr="00C43DF0">
        <w:t>Sonoki</w:t>
      </w:r>
      <w:proofErr w:type="spellEnd"/>
      <w:r w:rsidRPr="00C43DF0">
        <w:t xml:space="preserve"> K, </w:t>
      </w:r>
      <w:proofErr w:type="spellStart"/>
      <w:r w:rsidRPr="00C43DF0">
        <w:t>Yoshinari</w:t>
      </w:r>
      <w:proofErr w:type="spellEnd"/>
      <w:r w:rsidRPr="00C43DF0">
        <w:t xml:space="preserve"> M, Iwase M et al. Regurgitation of blood into insulin cartridges in the pen-like injectors. </w:t>
      </w:r>
      <w:r w:rsidRPr="00C43DF0">
        <w:rPr>
          <w:i/>
        </w:rPr>
        <w:t>Diabetes Care</w:t>
      </w:r>
      <w:r w:rsidRPr="00C43DF0">
        <w:t>. 2001; 24:603-4.</w:t>
      </w:r>
    </w:p>
    <w:p w:rsidR="00C43DF0" w:rsidRPr="00C43DF0" w:rsidRDefault="00C43DF0" w:rsidP="00C200F7">
      <w:pPr>
        <w:tabs>
          <w:tab w:val="left" w:pos="180"/>
        </w:tabs>
        <w:ind w:left="180"/>
      </w:pPr>
      <w:r w:rsidRPr="00C43DF0">
        <w:t xml:space="preserve">U.S. Food and Drug Administration. Information for healthcare professionals: risk of transmission of blood-borne pathogens from shared use of insulin pens. March 19, 2009. </w:t>
      </w:r>
      <w:hyperlink r:id="rId12" w:history="1">
        <w:r w:rsidRPr="00C43DF0">
          <w:rPr>
            <w:rStyle w:val="Hyperlink"/>
          </w:rPr>
          <w:t>http://www.fda.gov/Drugs/DrugSafety/PostmarketDrugSafetyInformationforPatientsandProviders/DrugSafetyInformationforHeathcareProfes</w:t>
        </w:r>
        <w:bookmarkStart w:id="0" w:name="_GoBack"/>
        <w:bookmarkEnd w:id="0"/>
        <w:r w:rsidRPr="00C43DF0">
          <w:rPr>
            <w:rStyle w:val="Hyperlink"/>
          </w:rPr>
          <w:t>sionals/ucm133352.htm</w:t>
        </w:r>
      </w:hyperlink>
      <w:r w:rsidRPr="00C43DF0">
        <w:t xml:space="preserve"> (accessed 2014 Jul 17).</w:t>
      </w:r>
    </w:p>
    <w:sectPr w:rsidR="00C43DF0" w:rsidRPr="00C43DF0" w:rsidSect="007C730B">
      <w:headerReference w:type="default" r:id="rId13"/>
      <w:footerReference w:type="default" r:id="rId14"/>
      <w:headerReference w:type="first" r:id="rId15"/>
      <w:footerReference w:type="first" r:id="rId16"/>
      <w:pgSz w:w="12240" w:h="15840"/>
      <w:pgMar w:top="1440" w:right="1080" w:bottom="1440" w:left="1080" w:header="4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DC" w:rsidRDefault="004B65DC" w:rsidP="009723B0">
      <w:pPr>
        <w:spacing w:after="0" w:line="240" w:lineRule="auto"/>
      </w:pPr>
      <w:r>
        <w:separator/>
      </w:r>
    </w:p>
  </w:endnote>
  <w:endnote w:type="continuationSeparator" w:id="0">
    <w:p w:rsidR="004B65DC" w:rsidRDefault="004B65DC"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AE6E0E" w:rsidTr="005F6E6D">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AE6E0E" w:rsidRDefault="00C43DF0" w:rsidP="007C730B">
          <w:pPr>
            <w:pStyle w:val="Footer"/>
            <w:jc w:val="right"/>
            <w:rPr>
              <w:sz w:val="18"/>
              <w:szCs w:val="18"/>
            </w:rPr>
          </w:pPr>
          <w:r>
            <w:rPr>
              <w:sz w:val="18"/>
              <w:szCs w:val="18"/>
            </w:rPr>
            <w:t>Jul-14</w:t>
          </w:r>
          <w:r w:rsidR="007C730B" w:rsidRPr="00AE6E0E">
            <w:rPr>
              <w:sz w:val="18"/>
              <w:szCs w:val="18"/>
            </w:rPr>
            <w:br/>
            <w:t xml:space="preserve">Page </w:t>
          </w:r>
          <w:r w:rsidR="007C730B" w:rsidRPr="00AE6E0E">
            <w:rPr>
              <w:b/>
              <w:bCs/>
              <w:sz w:val="18"/>
              <w:szCs w:val="18"/>
            </w:rPr>
            <w:fldChar w:fldCharType="begin"/>
          </w:r>
          <w:r w:rsidR="007C730B" w:rsidRPr="00AE6E0E">
            <w:rPr>
              <w:b/>
              <w:bCs/>
              <w:sz w:val="18"/>
              <w:szCs w:val="18"/>
            </w:rPr>
            <w:instrText xml:space="preserve"> PAGE  \* Arabic  \* MERGEFORMAT </w:instrText>
          </w:r>
          <w:r w:rsidR="007C730B" w:rsidRPr="00AE6E0E">
            <w:rPr>
              <w:b/>
              <w:bCs/>
              <w:sz w:val="18"/>
              <w:szCs w:val="18"/>
            </w:rPr>
            <w:fldChar w:fldCharType="separate"/>
          </w:r>
          <w:r w:rsidR="00C200F7">
            <w:rPr>
              <w:b/>
              <w:bCs/>
              <w:noProof/>
              <w:sz w:val="18"/>
              <w:szCs w:val="18"/>
            </w:rPr>
            <w:t>2</w:t>
          </w:r>
          <w:r w:rsidR="007C730B" w:rsidRPr="00AE6E0E">
            <w:rPr>
              <w:b/>
              <w:bCs/>
              <w:sz w:val="18"/>
              <w:szCs w:val="18"/>
            </w:rPr>
            <w:fldChar w:fldCharType="end"/>
          </w:r>
          <w:r w:rsidR="007C730B" w:rsidRPr="00AE6E0E">
            <w:rPr>
              <w:sz w:val="18"/>
              <w:szCs w:val="18"/>
            </w:rPr>
            <w:t xml:space="preserve"> of </w:t>
          </w:r>
          <w:r w:rsidR="007C730B" w:rsidRPr="00AE6E0E">
            <w:rPr>
              <w:b/>
              <w:bCs/>
              <w:sz w:val="18"/>
              <w:szCs w:val="18"/>
            </w:rPr>
            <w:fldChar w:fldCharType="begin"/>
          </w:r>
          <w:r w:rsidR="007C730B" w:rsidRPr="00AE6E0E">
            <w:rPr>
              <w:b/>
              <w:bCs/>
              <w:sz w:val="18"/>
              <w:szCs w:val="18"/>
            </w:rPr>
            <w:instrText xml:space="preserve"> NUMPAGES  \* Arabic  \* MERGEFORMAT </w:instrText>
          </w:r>
          <w:r w:rsidR="007C730B" w:rsidRPr="00AE6E0E">
            <w:rPr>
              <w:b/>
              <w:bCs/>
              <w:sz w:val="18"/>
              <w:szCs w:val="18"/>
            </w:rPr>
            <w:fldChar w:fldCharType="separate"/>
          </w:r>
          <w:r w:rsidR="00C200F7">
            <w:rPr>
              <w:b/>
              <w:bCs/>
              <w:noProof/>
              <w:sz w:val="18"/>
              <w:szCs w:val="18"/>
            </w:rPr>
            <w:t>2</w:t>
          </w:r>
          <w:r w:rsidR="007C730B" w:rsidRPr="00AE6E0E">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AE6E0E" w:rsidTr="007C730B">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AE6E0E" w:rsidRDefault="00C43DF0" w:rsidP="007C730B">
          <w:pPr>
            <w:pStyle w:val="Footer"/>
            <w:jc w:val="right"/>
            <w:rPr>
              <w:sz w:val="18"/>
              <w:szCs w:val="18"/>
            </w:rPr>
          </w:pPr>
          <w:r>
            <w:rPr>
              <w:sz w:val="18"/>
              <w:szCs w:val="18"/>
            </w:rPr>
            <w:t>Jul-14</w:t>
          </w:r>
          <w:r w:rsidR="007C730B" w:rsidRPr="00AE6E0E">
            <w:rPr>
              <w:sz w:val="18"/>
              <w:szCs w:val="18"/>
            </w:rPr>
            <w:br/>
            <w:t xml:space="preserve">Page </w:t>
          </w:r>
          <w:r w:rsidR="007C730B" w:rsidRPr="00AE6E0E">
            <w:rPr>
              <w:b/>
              <w:bCs/>
              <w:sz w:val="18"/>
              <w:szCs w:val="18"/>
            </w:rPr>
            <w:fldChar w:fldCharType="begin"/>
          </w:r>
          <w:r w:rsidR="007C730B" w:rsidRPr="00AE6E0E">
            <w:rPr>
              <w:b/>
              <w:bCs/>
              <w:sz w:val="18"/>
              <w:szCs w:val="18"/>
            </w:rPr>
            <w:instrText xml:space="preserve"> PAGE  \* Arabic  \* MERGEFORMAT </w:instrText>
          </w:r>
          <w:r w:rsidR="007C730B" w:rsidRPr="00AE6E0E">
            <w:rPr>
              <w:b/>
              <w:bCs/>
              <w:sz w:val="18"/>
              <w:szCs w:val="18"/>
            </w:rPr>
            <w:fldChar w:fldCharType="separate"/>
          </w:r>
          <w:r w:rsidR="00C200F7">
            <w:rPr>
              <w:b/>
              <w:bCs/>
              <w:noProof/>
              <w:sz w:val="18"/>
              <w:szCs w:val="18"/>
            </w:rPr>
            <w:t>1</w:t>
          </w:r>
          <w:r w:rsidR="007C730B" w:rsidRPr="00AE6E0E">
            <w:rPr>
              <w:b/>
              <w:bCs/>
              <w:sz w:val="18"/>
              <w:szCs w:val="18"/>
            </w:rPr>
            <w:fldChar w:fldCharType="end"/>
          </w:r>
          <w:r w:rsidR="007C730B" w:rsidRPr="00AE6E0E">
            <w:rPr>
              <w:sz w:val="18"/>
              <w:szCs w:val="18"/>
            </w:rPr>
            <w:t xml:space="preserve"> of </w:t>
          </w:r>
          <w:r w:rsidR="007C730B" w:rsidRPr="00AE6E0E">
            <w:rPr>
              <w:b/>
              <w:bCs/>
              <w:sz w:val="18"/>
              <w:szCs w:val="18"/>
            </w:rPr>
            <w:fldChar w:fldCharType="begin"/>
          </w:r>
          <w:r w:rsidR="007C730B" w:rsidRPr="00AE6E0E">
            <w:rPr>
              <w:b/>
              <w:bCs/>
              <w:sz w:val="18"/>
              <w:szCs w:val="18"/>
            </w:rPr>
            <w:instrText xml:space="preserve"> NUMPAGES  \* Arabic  \* MERGEFORMAT </w:instrText>
          </w:r>
          <w:r w:rsidR="007C730B" w:rsidRPr="00AE6E0E">
            <w:rPr>
              <w:b/>
              <w:bCs/>
              <w:sz w:val="18"/>
              <w:szCs w:val="18"/>
            </w:rPr>
            <w:fldChar w:fldCharType="separate"/>
          </w:r>
          <w:r w:rsidR="00C200F7">
            <w:rPr>
              <w:b/>
              <w:bCs/>
              <w:noProof/>
              <w:sz w:val="18"/>
              <w:szCs w:val="18"/>
            </w:rPr>
            <w:t>2</w:t>
          </w:r>
          <w:r w:rsidR="007C730B" w:rsidRPr="00AE6E0E">
            <w:rPr>
              <w:b/>
              <w:bCs/>
              <w:sz w:val="18"/>
              <w:szCs w:val="18"/>
            </w:rPr>
            <w:fldChar w:fldCharType="end"/>
          </w:r>
        </w:p>
      </w:tc>
    </w:tr>
  </w:tbl>
  <w:p w:rsidR="00264813" w:rsidRPr="007C730B" w:rsidRDefault="00264813" w:rsidP="007C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DC" w:rsidRDefault="004B65DC" w:rsidP="009723B0">
      <w:pPr>
        <w:spacing w:after="0" w:line="240" w:lineRule="auto"/>
      </w:pPr>
      <w:r>
        <w:separator/>
      </w:r>
    </w:p>
  </w:footnote>
  <w:footnote w:type="continuationSeparator" w:id="0">
    <w:p w:rsidR="004B65DC" w:rsidRDefault="004B65DC"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1C" w:rsidRPr="00C200F7" w:rsidRDefault="00C200F7" w:rsidP="00C200F7">
    <w:pPr>
      <w:pStyle w:val="Header"/>
      <w:jc w:val="right"/>
      <w:rPr>
        <w:b/>
        <w:sz w:val="24"/>
        <w:szCs w:val="24"/>
      </w:rPr>
    </w:pPr>
    <w:r w:rsidRPr="00C200F7">
      <w:rPr>
        <w:b/>
        <w:sz w:val="24"/>
        <w:szCs w:val="24"/>
      </w:rPr>
      <w:t>Fact Sheet: Insulin Pen Safety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494C2842" wp14:editId="09B14AC4">
          <wp:extent cx="6400800" cy="107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60E03"/>
    <w:multiLevelType w:val="hybridMultilevel"/>
    <w:tmpl w:val="E35CD998"/>
    <w:lvl w:ilvl="0" w:tplc="0050490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7">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62D89"/>
    <w:rsid w:val="00083122"/>
    <w:rsid w:val="00156A61"/>
    <w:rsid w:val="001578A9"/>
    <w:rsid w:val="001B375C"/>
    <w:rsid w:val="001E4D3F"/>
    <w:rsid w:val="00202840"/>
    <w:rsid w:val="00264813"/>
    <w:rsid w:val="00265889"/>
    <w:rsid w:val="00335279"/>
    <w:rsid w:val="00426CD8"/>
    <w:rsid w:val="00485F69"/>
    <w:rsid w:val="004947F6"/>
    <w:rsid w:val="004B09DA"/>
    <w:rsid w:val="004B65DC"/>
    <w:rsid w:val="004C218A"/>
    <w:rsid w:val="004E7A1C"/>
    <w:rsid w:val="00556653"/>
    <w:rsid w:val="005C693F"/>
    <w:rsid w:val="005D1A7B"/>
    <w:rsid w:val="005F7A54"/>
    <w:rsid w:val="007C730B"/>
    <w:rsid w:val="00811E16"/>
    <w:rsid w:val="00827BB1"/>
    <w:rsid w:val="008C6F87"/>
    <w:rsid w:val="009723B0"/>
    <w:rsid w:val="009C271F"/>
    <w:rsid w:val="009D07BD"/>
    <w:rsid w:val="00A9636C"/>
    <w:rsid w:val="00AE39D7"/>
    <w:rsid w:val="00B44359"/>
    <w:rsid w:val="00BD4CCB"/>
    <w:rsid w:val="00C200F7"/>
    <w:rsid w:val="00C25938"/>
    <w:rsid w:val="00C43DF0"/>
    <w:rsid w:val="00C96FC6"/>
    <w:rsid w:val="00CC2132"/>
    <w:rsid w:val="00DD751C"/>
    <w:rsid w:val="00E06644"/>
    <w:rsid w:val="00E132C4"/>
    <w:rsid w:val="00E92CFF"/>
    <w:rsid w:val="00F16140"/>
    <w:rsid w:val="00F2325A"/>
    <w:rsid w:val="00F44485"/>
    <w:rsid w:val="00F72027"/>
    <w:rsid w:val="00FC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Drugs/DrugSafety/PostmarketDrugSafetyInformationforPatientsandProviders/DrugSafetyInformationforHeathcareProfessionals/ucm13335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p.org/Newsletters/acutecare/articles/20080508.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ms.gov/Medicare/Provider-Enrollment-and-Certification/SurveyCertificationGenInfo/Downloads/Survey-and-Cert-Letter-14-36.pdf" TargetMode="External"/><Relationship Id="rId4" Type="http://schemas.microsoft.com/office/2007/relationships/stylesWithEffects" Target="stylesWithEffects.xml"/><Relationship Id="rId9" Type="http://schemas.openxmlformats.org/officeDocument/2006/relationships/hyperlink" Target="http://www.cdc.gov/injectionsafety/PDF/Clinical-Reminder-insulin-p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E36E-7935-45B7-89B7-76A304FB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 Sheet: Insulin Pen Safety in Hospitals</vt:lpstr>
    </vt:vector>
  </TitlesOfParts>
  <Company>American Society of Health-System Pharmacists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Insulin Pen Safety in Hospitals</dc:title>
  <dc:creator>Jennifer Perrell</dc:creator>
  <cp:lastModifiedBy>Carla Brink</cp:lastModifiedBy>
  <cp:revision>2</cp:revision>
  <cp:lastPrinted>2014-08-14T02:17:00Z</cp:lastPrinted>
  <dcterms:created xsi:type="dcterms:W3CDTF">2014-08-14T02:28:00Z</dcterms:created>
  <dcterms:modified xsi:type="dcterms:W3CDTF">2014-08-14T02:28:00Z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