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6571" w14:textId="77777777" w:rsidR="00541612" w:rsidRPr="00541612" w:rsidRDefault="00541612" w:rsidP="00541612">
      <w:pPr>
        <w:rPr>
          <w:rFonts w:cs="Tahoma"/>
        </w:rPr>
      </w:pPr>
      <w:r w:rsidRPr="00541612">
        <w:rPr>
          <w:rFonts w:cs="Tahoma"/>
        </w:rPr>
        <w:t xml:space="preserve">Diabetes Management Service </w:t>
      </w:r>
      <w:r w:rsidRPr="00541612">
        <w:rPr>
          <w:rFonts w:cs="Tahoma"/>
          <w:color w:val="FF0000"/>
        </w:rPr>
        <w:t>[insert pager number]</w:t>
      </w:r>
      <w:r w:rsidRPr="00541612">
        <w:rPr>
          <w:rFonts w:cs="Tahoma"/>
        </w:rPr>
        <w:t xml:space="preserve"> (for surgical patients)</w:t>
      </w:r>
    </w:p>
    <w:p w14:paraId="2D08795E" w14:textId="77777777" w:rsidR="00541612" w:rsidRPr="00541612" w:rsidRDefault="00541612" w:rsidP="00541612">
      <w:pPr>
        <w:rPr>
          <w:rFonts w:cs="Tahoma"/>
        </w:rPr>
      </w:pPr>
      <w:r w:rsidRPr="00541612">
        <w:rPr>
          <w:rFonts w:cs="Tahoma"/>
        </w:rPr>
        <w:t xml:space="preserve">Endocrine Consult Service </w:t>
      </w:r>
      <w:r w:rsidRPr="00541612">
        <w:rPr>
          <w:rFonts w:cs="Tahoma"/>
          <w:color w:val="FF0000"/>
        </w:rPr>
        <w:t>[insert pager number]</w:t>
      </w:r>
      <w:r w:rsidRPr="00541612">
        <w:rPr>
          <w:rFonts w:cs="Tahoma"/>
        </w:rPr>
        <w:t xml:space="preserve"> (for medical patients)</w:t>
      </w:r>
    </w:p>
    <w:p w14:paraId="3924D268" w14:textId="77777777" w:rsidR="00541612" w:rsidRPr="00541612" w:rsidRDefault="00541612" w:rsidP="00541612">
      <w:pPr>
        <w:rPr>
          <w:rFonts w:cs="Tahoma"/>
        </w:rPr>
      </w:pPr>
    </w:p>
    <w:p w14:paraId="54A8AFA7" w14:textId="77777777" w:rsidR="00541612" w:rsidRPr="00541612" w:rsidRDefault="00541612" w:rsidP="00541612">
      <w:pPr>
        <w:rPr>
          <w:rFonts w:cs="Tahoma"/>
        </w:rPr>
      </w:pPr>
      <w:r w:rsidRPr="00541612">
        <w:rPr>
          <w:rFonts w:cs="Tahoma"/>
        </w:rPr>
        <w:t xml:space="preserve">The following guidelines apply to most patients. Some special situations are discussed. However, the advice of the patient’s primary care provider (PCP) or endocrinologist should take precedence over these recommendations. In urgent or unusual cases, the Diabetes Management Service (DMS) or the Endocrine Consult Service may be contacted for advice. Guidelines for patient medications following procedures are also available. </w:t>
      </w:r>
    </w:p>
    <w:p w14:paraId="66678BA2" w14:textId="38EA367C" w:rsidR="00541612" w:rsidRPr="00541612" w:rsidRDefault="00DB7E1F" w:rsidP="00541612">
      <w:pPr>
        <w:numPr>
          <w:ilvl w:val="0"/>
          <w:numId w:val="9"/>
        </w:numPr>
        <w:spacing w:after="0" w:line="240" w:lineRule="auto"/>
      </w:pPr>
      <w:r>
        <w:t>O</w:t>
      </w:r>
      <w:r w:rsidR="00541612" w:rsidRPr="00541612">
        <w:t>btain A1C if none available in last 90 days as this will assist discharge planning for patient.</w:t>
      </w:r>
    </w:p>
    <w:p w14:paraId="2D64AA42" w14:textId="77777777" w:rsidR="00541612" w:rsidRPr="00541612" w:rsidRDefault="00541612" w:rsidP="00541612">
      <w:pPr>
        <w:numPr>
          <w:ilvl w:val="0"/>
          <w:numId w:val="9"/>
        </w:numPr>
        <w:spacing w:after="0" w:line="240" w:lineRule="auto"/>
      </w:pPr>
      <w:r w:rsidRPr="00541612">
        <w:t>For non-insulin agents (oral or injectable)</w:t>
      </w:r>
    </w:p>
    <w:p w14:paraId="09E468BE" w14:textId="77777777" w:rsidR="00541612" w:rsidRPr="00541612" w:rsidRDefault="00541612" w:rsidP="00541612">
      <w:pPr>
        <w:numPr>
          <w:ilvl w:val="1"/>
          <w:numId w:val="9"/>
        </w:numPr>
        <w:spacing w:after="0" w:line="240" w:lineRule="auto"/>
      </w:pPr>
      <w:r w:rsidRPr="00541612">
        <w:t>For the day prior to procedure, patient to take usual doses</w:t>
      </w:r>
    </w:p>
    <w:p w14:paraId="1A92EE6F" w14:textId="77777777" w:rsidR="00541612" w:rsidRPr="00541612" w:rsidRDefault="00541612" w:rsidP="00541612">
      <w:pPr>
        <w:numPr>
          <w:ilvl w:val="1"/>
          <w:numId w:val="9"/>
        </w:numPr>
        <w:spacing w:after="0" w:line="240" w:lineRule="auto"/>
      </w:pPr>
      <w:r w:rsidRPr="00541612">
        <w:t>For the day of procedure, patient not to take any anti-diabetic non-insulin medication</w:t>
      </w:r>
    </w:p>
    <w:p w14:paraId="11D1CEA6" w14:textId="77777777" w:rsidR="00541612" w:rsidRPr="00541612" w:rsidRDefault="00541612" w:rsidP="00541612">
      <w:pPr>
        <w:numPr>
          <w:ilvl w:val="0"/>
          <w:numId w:val="9"/>
        </w:numPr>
        <w:spacing w:after="0" w:line="240" w:lineRule="auto"/>
      </w:pPr>
      <w:r w:rsidRPr="00541612">
        <w:t>For insulin</w:t>
      </w:r>
    </w:p>
    <w:p w14:paraId="38F1843B" w14:textId="77777777" w:rsidR="00541612" w:rsidRPr="00541612" w:rsidRDefault="00541612" w:rsidP="00541612">
      <w:pPr>
        <w:numPr>
          <w:ilvl w:val="1"/>
          <w:numId w:val="9"/>
        </w:numPr>
        <w:spacing w:after="0" w:line="240" w:lineRule="auto"/>
      </w:pPr>
      <w:r w:rsidRPr="00541612">
        <w:t>For the day prior to procedure, take usual doses in the morning and evening (see below)</w:t>
      </w:r>
    </w:p>
    <w:p w14:paraId="246AA1AE" w14:textId="77777777" w:rsidR="00541612" w:rsidRPr="00541612" w:rsidRDefault="00541612" w:rsidP="00541612">
      <w:pPr>
        <w:numPr>
          <w:ilvl w:val="1"/>
          <w:numId w:val="9"/>
        </w:numPr>
        <w:spacing w:after="0" w:line="240" w:lineRule="auto"/>
      </w:pPr>
      <w:r w:rsidRPr="00541612">
        <w:t xml:space="preserve">For the day of procedure, take 50% of basal insulin and no prandial insulin (see below) </w:t>
      </w:r>
    </w:p>
    <w:p w14:paraId="29C94650" w14:textId="77777777" w:rsidR="00541612" w:rsidRPr="00541612" w:rsidRDefault="00541612" w:rsidP="00541612">
      <w:pPr>
        <w:tabs>
          <w:tab w:val="left" w:pos="1260"/>
        </w:tabs>
        <w:spacing w:after="0" w:line="240" w:lineRule="auto"/>
      </w:pPr>
      <w:r w:rsidRPr="00541612">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432"/>
        <w:gridCol w:w="3433"/>
        <w:gridCol w:w="3431"/>
      </w:tblGrid>
      <w:tr w:rsidR="00541612" w:rsidRPr="00541612" w14:paraId="6DDDD34C" w14:textId="77777777" w:rsidTr="001E2BCA">
        <w:tc>
          <w:tcPr>
            <w:tcW w:w="1667" w:type="pct"/>
            <w:shd w:val="solid" w:color="000080" w:fill="FFFFFF"/>
            <w:vAlign w:val="center"/>
          </w:tcPr>
          <w:p w14:paraId="299B2416" w14:textId="77777777" w:rsidR="00541612" w:rsidRPr="00541612" w:rsidRDefault="00541612" w:rsidP="00541612">
            <w:pPr>
              <w:spacing w:after="0" w:line="240" w:lineRule="auto"/>
              <w:jc w:val="center"/>
              <w:rPr>
                <w:rFonts w:eastAsia="Cambria"/>
              </w:rPr>
            </w:pPr>
            <w:r w:rsidRPr="00541612">
              <w:rPr>
                <w:rFonts w:eastAsia="Cambria"/>
              </w:rPr>
              <w:t>Basal* insulin at night</w:t>
            </w:r>
          </w:p>
        </w:tc>
        <w:tc>
          <w:tcPr>
            <w:tcW w:w="1667" w:type="pct"/>
            <w:shd w:val="solid" w:color="000080" w:fill="FFFFFF"/>
            <w:vAlign w:val="center"/>
          </w:tcPr>
          <w:p w14:paraId="3FC41C3C" w14:textId="77777777" w:rsidR="00541612" w:rsidRPr="00541612" w:rsidRDefault="00541612" w:rsidP="00541612">
            <w:pPr>
              <w:spacing w:after="0" w:line="240" w:lineRule="auto"/>
              <w:jc w:val="center"/>
              <w:rPr>
                <w:rFonts w:eastAsia="Cambria"/>
              </w:rPr>
            </w:pPr>
            <w:r w:rsidRPr="00541612">
              <w:rPr>
                <w:rFonts w:eastAsia="Cambria"/>
              </w:rPr>
              <w:t>Basal*insulin in the morning</w:t>
            </w:r>
          </w:p>
        </w:tc>
        <w:tc>
          <w:tcPr>
            <w:tcW w:w="1667" w:type="pct"/>
            <w:shd w:val="solid" w:color="000080" w:fill="FFFFFF"/>
            <w:vAlign w:val="center"/>
          </w:tcPr>
          <w:p w14:paraId="617C0522" w14:textId="77777777" w:rsidR="00541612" w:rsidRPr="00541612" w:rsidRDefault="00541612" w:rsidP="00541612">
            <w:pPr>
              <w:spacing w:after="0" w:line="240" w:lineRule="auto"/>
              <w:jc w:val="center"/>
              <w:rPr>
                <w:rFonts w:eastAsia="Cambria"/>
              </w:rPr>
            </w:pPr>
            <w:r w:rsidRPr="00541612">
              <w:rPr>
                <w:rFonts w:eastAsia="Cambria"/>
              </w:rPr>
              <w:t>Prandial** insulin in the morning</w:t>
            </w:r>
          </w:p>
        </w:tc>
      </w:tr>
      <w:tr w:rsidR="00541612" w:rsidRPr="00541612" w14:paraId="21E78ACD" w14:textId="77777777" w:rsidTr="001E2BCA">
        <w:trPr>
          <w:trHeight w:val="408"/>
        </w:trPr>
        <w:tc>
          <w:tcPr>
            <w:tcW w:w="1667" w:type="pct"/>
            <w:shd w:val="clear" w:color="auto" w:fill="auto"/>
            <w:vAlign w:val="center"/>
          </w:tcPr>
          <w:p w14:paraId="720004AA" w14:textId="77777777" w:rsidR="00541612" w:rsidRPr="00541612" w:rsidRDefault="00541612" w:rsidP="00541612">
            <w:pPr>
              <w:spacing w:after="0" w:line="240" w:lineRule="auto"/>
              <w:jc w:val="center"/>
              <w:rPr>
                <w:rFonts w:eastAsia="Cambria"/>
              </w:rPr>
            </w:pPr>
            <w:r w:rsidRPr="00541612">
              <w:rPr>
                <w:rFonts w:eastAsia="Cambria"/>
              </w:rPr>
              <w:t>Give 100% of the dose</w:t>
            </w:r>
          </w:p>
        </w:tc>
        <w:tc>
          <w:tcPr>
            <w:tcW w:w="1667" w:type="pct"/>
            <w:shd w:val="clear" w:color="auto" w:fill="auto"/>
            <w:vAlign w:val="center"/>
          </w:tcPr>
          <w:p w14:paraId="05BFE9EB" w14:textId="77777777" w:rsidR="00541612" w:rsidRPr="00541612" w:rsidRDefault="00541612" w:rsidP="00541612">
            <w:pPr>
              <w:spacing w:after="0" w:line="240" w:lineRule="auto"/>
              <w:jc w:val="center"/>
              <w:rPr>
                <w:rFonts w:eastAsia="Cambria"/>
              </w:rPr>
            </w:pPr>
            <w:r w:rsidRPr="00541612">
              <w:rPr>
                <w:rFonts w:eastAsia="Cambria"/>
              </w:rPr>
              <w:t>Give 50% of the dose</w:t>
            </w:r>
          </w:p>
        </w:tc>
        <w:tc>
          <w:tcPr>
            <w:tcW w:w="1667" w:type="pct"/>
            <w:shd w:val="clear" w:color="auto" w:fill="auto"/>
            <w:vAlign w:val="center"/>
          </w:tcPr>
          <w:p w14:paraId="2E7D8F19" w14:textId="77777777" w:rsidR="00541612" w:rsidRPr="00541612" w:rsidRDefault="00541612" w:rsidP="00541612">
            <w:pPr>
              <w:spacing w:after="0" w:line="240" w:lineRule="auto"/>
              <w:jc w:val="center"/>
              <w:rPr>
                <w:rFonts w:eastAsia="Cambria"/>
              </w:rPr>
            </w:pPr>
            <w:r w:rsidRPr="00541612">
              <w:rPr>
                <w:rFonts w:eastAsia="Cambria"/>
              </w:rPr>
              <w:t>Hold</w:t>
            </w:r>
          </w:p>
        </w:tc>
      </w:tr>
    </w:tbl>
    <w:p w14:paraId="4AC49059" w14:textId="5E887FDF" w:rsidR="00541612" w:rsidRPr="00541612" w:rsidRDefault="00541612" w:rsidP="00541612">
      <w:pPr>
        <w:spacing w:after="0" w:line="240" w:lineRule="auto"/>
      </w:pPr>
      <w:r w:rsidRPr="00541612">
        <w:t>*Basal: NPH insulin, glargine (Lantus</w:t>
      </w:r>
      <w:r w:rsidR="00DB7E1F">
        <w:t xml:space="preserve"> or </w:t>
      </w:r>
      <w:proofErr w:type="spellStart"/>
      <w:r w:rsidR="00DB7E1F">
        <w:t>Toujeo</w:t>
      </w:r>
      <w:proofErr w:type="spellEnd"/>
      <w:r w:rsidRPr="00541612">
        <w:t>), detemir (Levemir)</w:t>
      </w:r>
      <w:r w:rsidR="00DB7E1F">
        <w:t xml:space="preserve">, </w:t>
      </w:r>
      <w:proofErr w:type="spellStart"/>
      <w:r w:rsidR="00DB7E1F">
        <w:t>degludec</w:t>
      </w:r>
      <w:proofErr w:type="spellEnd"/>
      <w:r w:rsidR="00DB7E1F">
        <w:t xml:space="preserve"> (</w:t>
      </w:r>
      <w:proofErr w:type="spellStart"/>
      <w:r w:rsidR="00DB7E1F">
        <w:t>Tresiba</w:t>
      </w:r>
      <w:proofErr w:type="spellEnd"/>
      <w:r w:rsidR="00DB7E1F">
        <w:t>)</w:t>
      </w:r>
    </w:p>
    <w:p w14:paraId="71E270CF" w14:textId="359E6BD3" w:rsidR="00541612" w:rsidRPr="00541612" w:rsidRDefault="00541612" w:rsidP="00541612">
      <w:pPr>
        <w:spacing w:after="0" w:line="240" w:lineRule="auto"/>
      </w:pPr>
      <w:r w:rsidRPr="00541612">
        <w:t>**Prandial: aspart (</w:t>
      </w:r>
      <w:proofErr w:type="spellStart"/>
      <w:r w:rsidRPr="00541612">
        <w:t>Novolog</w:t>
      </w:r>
      <w:proofErr w:type="spellEnd"/>
      <w:r w:rsidRPr="00541612">
        <w:t>), lispro (Humalog), glulisine (Apidra), regular</w:t>
      </w:r>
      <w:r w:rsidR="00DB7E1F">
        <w:t xml:space="preserve"> human (Humulin R, Novolin R)</w:t>
      </w:r>
    </w:p>
    <w:p w14:paraId="170EA42C" w14:textId="77777777" w:rsidR="00541612" w:rsidRPr="00541612" w:rsidRDefault="00541612" w:rsidP="00541612">
      <w:pPr>
        <w:spacing w:after="0" w:line="240" w:lineRule="auto"/>
      </w:pPr>
    </w:p>
    <w:p w14:paraId="27BCDFE9" w14:textId="77777777" w:rsidR="00541612" w:rsidRPr="00541612" w:rsidRDefault="00541612" w:rsidP="00541612">
      <w:pPr>
        <w:rPr>
          <w:rFonts w:cs="Tahoma"/>
          <w:b/>
        </w:rPr>
      </w:pPr>
      <w:r w:rsidRPr="00541612">
        <w:rPr>
          <w:rFonts w:cs="Tahoma"/>
          <w:b/>
        </w:rPr>
        <w:t>Special situations</w:t>
      </w:r>
    </w:p>
    <w:p w14:paraId="16CA99DE" w14:textId="7419F53D" w:rsidR="00541612" w:rsidRPr="00541612" w:rsidRDefault="00541612" w:rsidP="00541612">
      <w:pPr>
        <w:numPr>
          <w:ilvl w:val="0"/>
          <w:numId w:val="10"/>
        </w:numPr>
        <w:spacing w:after="0" w:line="240" w:lineRule="auto"/>
      </w:pPr>
      <w:r w:rsidRPr="00541612">
        <w:t>P</w:t>
      </w:r>
      <w:r w:rsidR="00DB7E1F">
        <w:t>atients on a “premixed” insulin</w:t>
      </w:r>
    </w:p>
    <w:p w14:paraId="757DAA1E" w14:textId="420C1672" w:rsidR="00541612" w:rsidRPr="00970462" w:rsidRDefault="00541612" w:rsidP="00970462">
      <w:pPr>
        <w:pStyle w:val="ListParagraph"/>
        <w:numPr>
          <w:ilvl w:val="1"/>
          <w:numId w:val="8"/>
        </w:numPr>
        <w:spacing w:after="0"/>
        <w:rPr>
          <w:rFonts w:cs="Tahoma"/>
        </w:rPr>
      </w:pPr>
      <w:r w:rsidRPr="00970462">
        <w:rPr>
          <w:rFonts w:cs="Tahoma"/>
        </w:rPr>
        <w:t>Mixed insulin</w:t>
      </w:r>
      <w:r w:rsidRPr="00541612">
        <w:rPr>
          <w:vertAlign w:val="superscript"/>
        </w:rPr>
        <w:footnoteReference w:id="1"/>
      </w:r>
      <w:r w:rsidRPr="00970462">
        <w:rPr>
          <w:rFonts w:cs="Tahoma"/>
        </w:rPr>
        <w:t xml:space="preserve"> [70/30, 75/25, 50/50]</w:t>
      </w:r>
    </w:p>
    <w:p w14:paraId="70F4443F" w14:textId="77777777" w:rsidR="00541612" w:rsidRPr="00541612" w:rsidRDefault="00541612" w:rsidP="00541612">
      <w:pPr>
        <w:numPr>
          <w:ilvl w:val="2"/>
          <w:numId w:val="8"/>
        </w:numPr>
        <w:spacing w:after="0"/>
        <w:rPr>
          <w:rFonts w:cs="Tahoma"/>
        </w:rPr>
      </w:pPr>
      <w:r w:rsidRPr="00541612">
        <w:rPr>
          <w:rFonts w:cs="Tahoma"/>
        </w:rPr>
        <w:t>PM dose (evening before procedure)</w:t>
      </w:r>
    </w:p>
    <w:p w14:paraId="65EB0EC2" w14:textId="77777777" w:rsidR="00541612" w:rsidRPr="00541612" w:rsidRDefault="00541612" w:rsidP="00541612">
      <w:pPr>
        <w:numPr>
          <w:ilvl w:val="3"/>
          <w:numId w:val="8"/>
        </w:numPr>
        <w:spacing w:after="0"/>
        <w:rPr>
          <w:rFonts w:cs="Tahoma"/>
        </w:rPr>
      </w:pPr>
      <w:r w:rsidRPr="00541612">
        <w:rPr>
          <w:rFonts w:cs="Tahoma"/>
        </w:rPr>
        <w:t>Administer the full PM dose</w:t>
      </w:r>
    </w:p>
    <w:p w14:paraId="05A21BA5" w14:textId="77777777" w:rsidR="00541612" w:rsidRPr="00541612" w:rsidRDefault="00541612" w:rsidP="00541612">
      <w:pPr>
        <w:numPr>
          <w:ilvl w:val="2"/>
          <w:numId w:val="8"/>
        </w:numPr>
        <w:spacing w:after="0"/>
        <w:rPr>
          <w:rFonts w:cs="Tahoma"/>
        </w:rPr>
      </w:pPr>
      <w:r w:rsidRPr="00541612">
        <w:rPr>
          <w:rFonts w:cs="Tahoma"/>
        </w:rPr>
        <w:t>AM dose</w:t>
      </w:r>
    </w:p>
    <w:p w14:paraId="370B4363" w14:textId="77777777" w:rsidR="00541612" w:rsidRPr="00541612" w:rsidRDefault="00541612" w:rsidP="00541612">
      <w:pPr>
        <w:numPr>
          <w:ilvl w:val="3"/>
          <w:numId w:val="8"/>
        </w:numPr>
        <w:spacing w:after="0"/>
        <w:rPr>
          <w:rFonts w:cs="Tahoma"/>
        </w:rPr>
      </w:pPr>
      <w:r w:rsidRPr="00541612">
        <w:rPr>
          <w:rFonts w:cs="Tahoma"/>
        </w:rPr>
        <w:t>Do not take insulin at home</w:t>
      </w:r>
    </w:p>
    <w:p w14:paraId="4624FA84" w14:textId="47DC97FF" w:rsidR="00541612" w:rsidRPr="00541612" w:rsidRDefault="00DB7E1F" w:rsidP="00541612">
      <w:pPr>
        <w:numPr>
          <w:ilvl w:val="3"/>
          <w:numId w:val="8"/>
        </w:numPr>
        <w:spacing w:after="0"/>
        <w:rPr>
          <w:rFonts w:cs="Tahoma"/>
        </w:rPr>
      </w:pPr>
      <w:r>
        <w:rPr>
          <w:rFonts w:cs="Tahoma"/>
        </w:rPr>
        <w:t>Patient to b</w:t>
      </w:r>
      <w:r w:rsidR="00541612" w:rsidRPr="00541612">
        <w:rPr>
          <w:rFonts w:cs="Tahoma"/>
        </w:rPr>
        <w:t xml:space="preserve">ring </w:t>
      </w:r>
      <w:bookmarkStart w:id="0" w:name="_GoBack"/>
      <w:bookmarkEnd w:id="0"/>
      <w:r w:rsidR="00541612" w:rsidRPr="00541612">
        <w:rPr>
          <w:rFonts w:cs="Tahoma"/>
        </w:rPr>
        <w:t xml:space="preserve">insulin </w:t>
      </w:r>
      <w:r>
        <w:rPr>
          <w:rFonts w:cs="Tahoma"/>
        </w:rPr>
        <w:t xml:space="preserve">to hospital and </w:t>
      </w:r>
      <w:r w:rsidR="00541612" w:rsidRPr="00541612">
        <w:rPr>
          <w:rFonts w:cs="Tahoma"/>
        </w:rPr>
        <w:t>administer 1/3 of usual morning dose upon arrival to the hospital</w:t>
      </w:r>
      <w:r w:rsidR="00267E57">
        <w:rPr>
          <w:rFonts w:cs="Tahoma"/>
        </w:rPr>
        <w:t xml:space="preserve"> or 1/3 of usual total morning dose will be administered on arrival in procedural area as NPH (this must be ordered by clinician)</w:t>
      </w:r>
    </w:p>
    <w:p w14:paraId="13AB73B8" w14:textId="77777777" w:rsidR="00541612" w:rsidRPr="00541612" w:rsidRDefault="00541612" w:rsidP="00541612">
      <w:pPr>
        <w:numPr>
          <w:ilvl w:val="0"/>
          <w:numId w:val="8"/>
        </w:numPr>
        <w:spacing w:after="0"/>
        <w:rPr>
          <w:rFonts w:cs="Tahoma"/>
        </w:rPr>
      </w:pPr>
      <w:r w:rsidRPr="00541612">
        <w:rPr>
          <w:rFonts w:cs="Tahoma"/>
        </w:rPr>
        <w:t>Insulin pump</w:t>
      </w:r>
    </w:p>
    <w:p w14:paraId="3383248C" w14:textId="77777777" w:rsidR="00541612" w:rsidRPr="00541612" w:rsidRDefault="00541612" w:rsidP="00541612">
      <w:pPr>
        <w:numPr>
          <w:ilvl w:val="1"/>
          <w:numId w:val="8"/>
        </w:numPr>
        <w:spacing w:after="0"/>
        <w:rPr>
          <w:rFonts w:cs="Tahoma"/>
        </w:rPr>
      </w:pPr>
      <w:r w:rsidRPr="00541612">
        <w:rPr>
          <w:rFonts w:cs="Tahoma"/>
        </w:rPr>
        <w:t xml:space="preserve">Please refer to </w:t>
      </w:r>
      <w:r w:rsidRPr="00541612">
        <w:rPr>
          <w:rFonts w:cs="Tahoma"/>
          <w:color w:val="FF0000"/>
        </w:rPr>
        <w:t>[insert hospital name]</w:t>
      </w:r>
      <w:r w:rsidRPr="00541612">
        <w:rPr>
          <w:rFonts w:cs="Tahoma"/>
        </w:rPr>
        <w:t xml:space="preserve"> Insulin Pump Policy </w:t>
      </w:r>
      <w:r w:rsidRPr="00541612">
        <w:rPr>
          <w:rFonts w:cs="Tahoma"/>
          <w:color w:val="FF0000"/>
        </w:rPr>
        <w:t>[insert link]</w:t>
      </w:r>
    </w:p>
    <w:p w14:paraId="491DEC5F" w14:textId="77777777" w:rsidR="00541612" w:rsidRPr="00541612" w:rsidRDefault="00541612" w:rsidP="00541612">
      <w:pPr>
        <w:numPr>
          <w:ilvl w:val="1"/>
          <w:numId w:val="8"/>
        </w:numPr>
        <w:spacing w:after="0"/>
        <w:rPr>
          <w:rFonts w:cs="Tahoma"/>
        </w:rPr>
      </w:pPr>
      <w:r w:rsidRPr="00541612">
        <w:rPr>
          <w:rFonts w:cs="Tahoma"/>
        </w:rPr>
        <w:t>Patient must bring all pump supplies to the hospital</w:t>
      </w:r>
    </w:p>
    <w:p w14:paraId="1C01C65D" w14:textId="77777777" w:rsidR="00541612" w:rsidRPr="00541612" w:rsidRDefault="00541612" w:rsidP="00541612">
      <w:pPr>
        <w:numPr>
          <w:ilvl w:val="1"/>
          <w:numId w:val="8"/>
        </w:numPr>
        <w:spacing w:after="0"/>
        <w:rPr>
          <w:rFonts w:cs="Tahoma"/>
        </w:rPr>
      </w:pPr>
      <w:r w:rsidRPr="00541612">
        <w:rPr>
          <w:rFonts w:cs="Tahoma"/>
        </w:rPr>
        <w:t>Infusion site selection: patient will discuss infusion site with surgeon, if applicable, to ensure avoidance of operative site</w:t>
      </w:r>
    </w:p>
    <w:p w14:paraId="0B23AD10" w14:textId="1294A5CA" w:rsidR="00541612" w:rsidRPr="00541612" w:rsidRDefault="00541612" w:rsidP="00541612">
      <w:pPr>
        <w:numPr>
          <w:ilvl w:val="1"/>
          <w:numId w:val="8"/>
        </w:numPr>
        <w:spacing w:after="0"/>
        <w:rPr>
          <w:rFonts w:cs="Tahoma"/>
        </w:rPr>
      </w:pPr>
      <w:r w:rsidRPr="00541612">
        <w:rPr>
          <w:rFonts w:cs="Tahoma"/>
        </w:rPr>
        <w:lastRenderedPageBreak/>
        <w:t>Procedures anticipated to last &lt;</w:t>
      </w:r>
      <w:r w:rsidR="00267E57">
        <w:rPr>
          <w:rFonts w:cs="Tahoma"/>
        </w:rPr>
        <w:t>4</w:t>
      </w:r>
      <w:r w:rsidRPr="00541612">
        <w:rPr>
          <w:rFonts w:cs="Tahoma"/>
        </w:rPr>
        <w:t xml:space="preserve"> hours</w:t>
      </w:r>
    </w:p>
    <w:p w14:paraId="72B2F907" w14:textId="77777777" w:rsidR="00541612" w:rsidRPr="00541612" w:rsidRDefault="00541612" w:rsidP="00541612">
      <w:pPr>
        <w:numPr>
          <w:ilvl w:val="2"/>
          <w:numId w:val="8"/>
        </w:numPr>
        <w:spacing w:after="0"/>
        <w:rPr>
          <w:rFonts w:cs="Tahoma"/>
        </w:rPr>
      </w:pPr>
      <w:r w:rsidRPr="00541612">
        <w:rPr>
          <w:rFonts w:cs="Tahoma"/>
        </w:rPr>
        <w:t>Patient may continue using insulin pump infusion during and after operation / procedure</w:t>
      </w:r>
    </w:p>
    <w:p w14:paraId="570886EA" w14:textId="77777777" w:rsidR="00541612" w:rsidRPr="00541612" w:rsidRDefault="00541612" w:rsidP="00541612">
      <w:pPr>
        <w:numPr>
          <w:ilvl w:val="2"/>
          <w:numId w:val="8"/>
        </w:numPr>
        <w:spacing w:after="0"/>
        <w:rPr>
          <w:rFonts w:cs="Tahoma"/>
        </w:rPr>
      </w:pPr>
      <w:r w:rsidRPr="00541612">
        <w:rPr>
          <w:rFonts w:cs="Tahoma"/>
        </w:rPr>
        <w:t>Patient should maintain basal rate setting as suggested by his or her endocrinologist</w:t>
      </w:r>
    </w:p>
    <w:p w14:paraId="7D2CA522" w14:textId="77777777" w:rsidR="00541612" w:rsidRPr="00541612" w:rsidRDefault="00541612" w:rsidP="00541612">
      <w:pPr>
        <w:numPr>
          <w:ilvl w:val="2"/>
          <w:numId w:val="8"/>
        </w:numPr>
        <w:spacing w:after="0"/>
        <w:rPr>
          <w:rFonts w:cs="Tahoma"/>
        </w:rPr>
      </w:pPr>
      <w:r w:rsidRPr="00541612">
        <w:rPr>
          <w:rFonts w:cs="Tahoma"/>
        </w:rPr>
        <w:t>Patient should chose infusion site that will not interfere with procedure</w:t>
      </w:r>
    </w:p>
    <w:p w14:paraId="34C7F94C" w14:textId="4D454A62" w:rsidR="00541612" w:rsidRPr="00541612" w:rsidRDefault="00541612" w:rsidP="00541612">
      <w:pPr>
        <w:numPr>
          <w:ilvl w:val="1"/>
          <w:numId w:val="8"/>
        </w:numPr>
        <w:spacing w:after="0"/>
        <w:rPr>
          <w:rFonts w:cs="Tahoma"/>
        </w:rPr>
      </w:pPr>
      <w:r w:rsidRPr="00541612">
        <w:rPr>
          <w:rFonts w:cs="Tahoma"/>
        </w:rPr>
        <w:t>Procedures anticipated to last &gt;</w:t>
      </w:r>
      <w:r w:rsidR="00267E57">
        <w:rPr>
          <w:rFonts w:cs="Tahoma"/>
        </w:rPr>
        <w:t>4</w:t>
      </w:r>
      <w:r w:rsidRPr="00541612">
        <w:rPr>
          <w:rFonts w:cs="Tahoma"/>
        </w:rPr>
        <w:t xml:space="preserve"> hours</w:t>
      </w:r>
    </w:p>
    <w:p w14:paraId="76B39A78" w14:textId="77777777" w:rsidR="00541612" w:rsidRPr="00541612" w:rsidRDefault="00541612" w:rsidP="00541612">
      <w:pPr>
        <w:numPr>
          <w:ilvl w:val="2"/>
          <w:numId w:val="8"/>
        </w:numPr>
        <w:spacing w:after="0"/>
        <w:rPr>
          <w:rFonts w:cs="Tahoma"/>
        </w:rPr>
      </w:pPr>
      <w:r w:rsidRPr="00541612">
        <w:rPr>
          <w:rFonts w:cs="Tahoma"/>
        </w:rPr>
        <w:t xml:space="preserve">Patient should continue pump infusion until procedure begins </w:t>
      </w:r>
    </w:p>
    <w:p w14:paraId="6339E0D5" w14:textId="77777777" w:rsidR="00541612" w:rsidRPr="00541612" w:rsidRDefault="00541612" w:rsidP="00541612">
      <w:pPr>
        <w:numPr>
          <w:ilvl w:val="2"/>
          <w:numId w:val="8"/>
        </w:numPr>
        <w:spacing w:after="0"/>
        <w:rPr>
          <w:rFonts w:cs="Tahoma"/>
        </w:rPr>
      </w:pPr>
      <w:r w:rsidRPr="00541612">
        <w:rPr>
          <w:rFonts w:cs="Tahoma"/>
        </w:rPr>
        <w:t>Anesthesiologist or interventional physician will determine if pump use will continue throughout procedure or if patient will be converted to iv insulin drip or sc insulin during procedure</w:t>
      </w:r>
    </w:p>
    <w:p w14:paraId="3E73334E" w14:textId="77777777" w:rsidR="00541612" w:rsidRPr="00541612" w:rsidRDefault="00541612" w:rsidP="00541612">
      <w:pPr>
        <w:numPr>
          <w:ilvl w:val="2"/>
          <w:numId w:val="8"/>
        </w:numPr>
        <w:spacing w:after="0"/>
        <w:rPr>
          <w:rFonts w:cs="Tahoma"/>
        </w:rPr>
      </w:pPr>
      <w:r w:rsidRPr="00541612">
        <w:rPr>
          <w:rFonts w:cs="Tahoma"/>
        </w:rPr>
        <w:t>If detailed instructions for pump-to-subcutaneous conversion are not available from the patient’s physician, please consult Diabetes Management Service (surgical patients) or the Endocrine Consult Service (all other patients) for management</w:t>
      </w:r>
    </w:p>
    <w:p w14:paraId="64840EB3" w14:textId="77777777" w:rsidR="00541612" w:rsidRPr="00541612" w:rsidRDefault="00541612" w:rsidP="00541612">
      <w:pPr>
        <w:numPr>
          <w:ilvl w:val="0"/>
          <w:numId w:val="8"/>
        </w:numPr>
        <w:spacing w:after="0"/>
        <w:rPr>
          <w:rFonts w:cs="Tahoma"/>
          <w:lang w:val="fr-FR"/>
        </w:rPr>
      </w:pPr>
      <w:r w:rsidRPr="00541612">
        <w:rPr>
          <w:rFonts w:cs="Tahoma"/>
          <w:lang w:val="fr-FR"/>
        </w:rPr>
        <w:t xml:space="preserve">Patients on </w:t>
      </w:r>
      <w:proofErr w:type="spellStart"/>
      <w:r w:rsidRPr="00541612">
        <w:rPr>
          <w:rFonts w:cs="Tahoma"/>
          <w:lang w:val="fr-FR"/>
        </w:rPr>
        <w:t>continuous</w:t>
      </w:r>
      <w:proofErr w:type="spellEnd"/>
      <w:r w:rsidRPr="00541612">
        <w:rPr>
          <w:rFonts w:cs="Tahoma"/>
          <w:lang w:val="fr-FR"/>
        </w:rPr>
        <w:t xml:space="preserve"> iv </w:t>
      </w:r>
      <w:proofErr w:type="spellStart"/>
      <w:r w:rsidRPr="00541612">
        <w:rPr>
          <w:rFonts w:cs="Tahoma"/>
          <w:lang w:val="fr-FR"/>
        </w:rPr>
        <w:t>insulin</w:t>
      </w:r>
      <w:proofErr w:type="spellEnd"/>
      <w:r w:rsidRPr="00541612">
        <w:rPr>
          <w:rFonts w:cs="Tahoma"/>
          <w:lang w:val="fr-FR"/>
        </w:rPr>
        <w:t xml:space="preserve"> infusions</w:t>
      </w:r>
    </w:p>
    <w:p w14:paraId="3934E14A" w14:textId="77777777" w:rsidR="00541612" w:rsidRPr="00541612" w:rsidRDefault="00541612" w:rsidP="00541612">
      <w:pPr>
        <w:numPr>
          <w:ilvl w:val="1"/>
          <w:numId w:val="8"/>
        </w:numPr>
        <w:spacing w:after="0"/>
        <w:rPr>
          <w:rFonts w:cs="Tahoma"/>
        </w:rPr>
      </w:pPr>
      <w:r w:rsidRPr="00541612">
        <w:rPr>
          <w:rFonts w:cs="Tahoma"/>
        </w:rPr>
        <w:t>When care of a patient on a continuous insulin infusion is transferred to a nurse not trained on insulin infusion protocols (i.e., interventional radiography, cardiovascular diagnostic and interventional center, angiography, operating room), or the patient is transferred to any situation where the trained nurse will not be able to follow the continuous insulin protocol as written, the following is recommended: Prior to the patient leaving for the procedure, notify the covering physician that the continuous insulin infusion cannot be continued</w:t>
      </w:r>
    </w:p>
    <w:p w14:paraId="3CB39BD1" w14:textId="77777777" w:rsidR="00541612" w:rsidRPr="00541612" w:rsidRDefault="00541612" w:rsidP="00541612">
      <w:pPr>
        <w:numPr>
          <w:ilvl w:val="2"/>
          <w:numId w:val="8"/>
        </w:numPr>
        <w:spacing w:after="0"/>
        <w:rPr>
          <w:rFonts w:cs="Tahoma"/>
        </w:rPr>
      </w:pPr>
      <w:r w:rsidRPr="00541612">
        <w:rPr>
          <w:rFonts w:cs="Tahoma"/>
        </w:rPr>
        <w:t>Stop the continuous insulin infusion before patient leaves for the procedure</w:t>
      </w:r>
    </w:p>
    <w:p w14:paraId="3561809E" w14:textId="76436824" w:rsidR="00541612" w:rsidRPr="00541612" w:rsidRDefault="00541612" w:rsidP="00541612">
      <w:pPr>
        <w:numPr>
          <w:ilvl w:val="2"/>
          <w:numId w:val="8"/>
        </w:numPr>
        <w:spacing w:after="0"/>
        <w:rPr>
          <w:rFonts w:cs="Tahoma"/>
        </w:rPr>
      </w:pPr>
      <w:r w:rsidRPr="00541612">
        <w:rPr>
          <w:rFonts w:cs="Tahoma"/>
        </w:rPr>
        <w:t>If procedure is expected to last more than 2 hours</w:t>
      </w:r>
    </w:p>
    <w:p w14:paraId="78900E81" w14:textId="77777777" w:rsidR="00541612" w:rsidRPr="00541612" w:rsidRDefault="00541612" w:rsidP="00541612">
      <w:pPr>
        <w:numPr>
          <w:ilvl w:val="3"/>
          <w:numId w:val="8"/>
        </w:numPr>
        <w:spacing w:after="0"/>
        <w:rPr>
          <w:rFonts w:cs="Tahoma"/>
        </w:rPr>
      </w:pPr>
      <w:r w:rsidRPr="00541612">
        <w:rPr>
          <w:rFonts w:cs="Tahoma"/>
        </w:rPr>
        <w:t>Request a times one order for subcutaneous regular insulin</w:t>
      </w:r>
    </w:p>
    <w:p w14:paraId="4989544A" w14:textId="77777777" w:rsidR="00541612" w:rsidRPr="00541612" w:rsidRDefault="00541612" w:rsidP="00541612">
      <w:pPr>
        <w:numPr>
          <w:ilvl w:val="4"/>
          <w:numId w:val="8"/>
        </w:numPr>
        <w:spacing w:after="0"/>
        <w:rPr>
          <w:rFonts w:cs="Tahoma"/>
        </w:rPr>
      </w:pPr>
      <w:r w:rsidRPr="00541612">
        <w:rPr>
          <w:rFonts w:cs="Tahoma"/>
        </w:rPr>
        <w:t>Dose equivalent to last hour’s drip rate (i.e., if insulin infusion at 5 units/hr during last hour, dose is 5 units) up to 10 units max</w:t>
      </w:r>
    </w:p>
    <w:p w14:paraId="49D94B55" w14:textId="03BB02DE" w:rsidR="00541612" w:rsidRPr="008F51AD" w:rsidRDefault="008F51AD" w:rsidP="008F51AD">
      <w:pPr>
        <w:numPr>
          <w:ilvl w:val="2"/>
          <w:numId w:val="8"/>
        </w:numPr>
        <w:spacing w:after="0"/>
        <w:rPr>
          <w:rFonts w:cs="Tahoma"/>
        </w:rPr>
      </w:pPr>
      <w:r w:rsidRPr="008F51AD">
        <w:rPr>
          <w:rFonts w:cs="Tahoma"/>
        </w:rPr>
        <w:t xml:space="preserve">For management of patient during procedure, please refer to </w:t>
      </w:r>
      <w:r w:rsidR="00541612" w:rsidRPr="008F51AD">
        <w:rPr>
          <w:rFonts w:cs="Tahoma"/>
          <w:color w:val="FF0000"/>
        </w:rPr>
        <w:t>[insert hospital name]</w:t>
      </w:r>
      <w:r w:rsidR="00541612" w:rsidRPr="008F51AD">
        <w:rPr>
          <w:rFonts w:cs="Tahoma"/>
        </w:rPr>
        <w:t xml:space="preserve"> Guidelines for Perioperative/</w:t>
      </w:r>
      <w:proofErr w:type="spellStart"/>
      <w:r w:rsidR="00541612" w:rsidRPr="008F51AD">
        <w:rPr>
          <w:rFonts w:cs="Tahoma"/>
        </w:rPr>
        <w:t>Periprocedure</w:t>
      </w:r>
      <w:proofErr w:type="spellEnd"/>
      <w:r w:rsidR="00541612" w:rsidRPr="008F51AD">
        <w:rPr>
          <w:rFonts w:cs="Tahoma"/>
        </w:rPr>
        <w:t xml:space="preserve"> Management of Patients with Diabetes </w:t>
      </w:r>
      <w:r w:rsidR="00541612" w:rsidRPr="008F51AD">
        <w:rPr>
          <w:rFonts w:cs="Tahoma"/>
          <w:color w:val="FF0000"/>
        </w:rPr>
        <w:t>[insert link and name of relevant hospital guidelines]</w:t>
      </w:r>
      <w:r>
        <w:rPr>
          <w:rFonts w:cs="Tahoma"/>
        </w:rPr>
        <w:t xml:space="preserve"> </w:t>
      </w:r>
    </w:p>
    <w:p w14:paraId="302BC72F" w14:textId="77777777" w:rsidR="00541612" w:rsidRDefault="00541612" w:rsidP="00541612">
      <w:pPr>
        <w:numPr>
          <w:ilvl w:val="2"/>
          <w:numId w:val="8"/>
        </w:numPr>
        <w:spacing w:after="0"/>
        <w:rPr>
          <w:rFonts w:cs="Tahoma"/>
        </w:rPr>
      </w:pPr>
      <w:r w:rsidRPr="00541612">
        <w:rPr>
          <w:rFonts w:cs="Tahoma"/>
        </w:rPr>
        <w:t>Discontinue sliding scale and resume the continuous insulin infusion, from the beginning of the protocol, upon returning from the procedure</w:t>
      </w:r>
    </w:p>
    <w:p w14:paraId="1A851E9B" w14:textId="77777777" w:rsidR="00541612" w:rsidRDefault="00541612">
      <w:pPr>
        <w:rPr>
          <w:rFonts w:cs="Tahoma"/>
        </w:rPr>
      </w:pPr>
      <w:r>
        <w:rPr>
          <w:rFonts w:cs="Tahoma"/>
        </w:rPr>
        <w:br w:type="page"/>
      </w:r>
    </w:p>
    <w:p w14:paraId="7FF3F38D" w14:textId="77777777" w:rsidR="00541612" w:rsidRPr="00541612" w:rsidRDefault="00541612" w:rsidP="00541612">
      <w:pPr>
        <w:numPr>
          <w:ilvl w:val="0"/>
          <w:numId w:val="8"/>
        </w:numPr>
        <w:spacing w:after="0"/>
        <w:rPr>
          <w:rFonts w:cs="Tahoma"/>
        </w:rPr>
      </w:pPr>
      <w:r w:rsidRPr="00541612">
        <w:rPr>
          <w:rFonts w:cs="Tahoma"/>
        </w:rPr>
        <w:lastRenderedPageBreak/>
        <w:t>“Bowel Prep” (Clear Liquid Diet and Laxative Use) for colonoscopy or colonic surgery</w:t>
      </w:r>
    </w:p>
    <w:p w14:paraId="4CD360DB" w14:textId="77777777" w:rsidR="00541612" w:rsidRPr="00541612" w:rsidRDefault="00541612" w:rsidP="00541612">
      <w:pPr>
        <w:numPr>
          <w:ilvl w:val="1"/>
          <w:numId w:val="8"/>
        </w:numPr>
        <w:spacing w:after="0"/>
        <w:rPr>
          <w:rFonts w:cs="Tahoma"/>
        </w:rPr>
      </w:pPr>
      <w:r w:rsidRPr="00541612">
        <w:rPr>
          <w:rFonts w:cs="Tahoma"/>
        </w:rPr>
        <w:t>Day of bowel prep</w:t>
      </w:r>
    </w:p>
    <w:p w14:paraId="64379C7B" w14:textId="77777777" w:rsidR="00541612" w:rsidRPr="00541612" w:rsidRDefault="00541612" w:rsidP="00541612">
      <w:pPr>
        <w:numPr>
          <w:ilvl w:val="2"/>
          <w:numId w:val="8"/>
        </w:numPr>
        <w:spacing w:after="0"/>
        <w:rPr>
          <w:rFonts w:cs="Tahoma"/>
        </w:rPr>
      </w:pPr>
      <w:r w:rsidRPr="00541612">
        <w:rPr>
          <w:rFonts w:cs="Tahoma"/>
        </w:rPr>
        <w:t xml:space="preserve"> Glucose monitoring and nutrition</w:t>
      </w:r>
    </w:p>
    <w:p w14:paraId="447AFC3E" w14:textId="77777777" w:rsidR="00541612" w:rsidRPr="00541612" w:rsidRDefault="00541612" w:rsidP="00541612">
      <w:pPr>
        <w:numPr>
          <w:ilvl w:val="3"/>
          <w:numId w:val="8"/>
        </w:numPr>
        <w:spacing w:after="0"/>
        <w:rPr>
          <w:rFonts w:cs="Tahoma"/>
        </w:rPr>
      </w:pPr>
      <w:r w:rsidRPr="00541612">
        <w:rPr>
          <w:rFonts w:cs="Tahoma"/>
        </w:rPr>
        <w:t xml:space="preserve"> All patients should test glucose levels several times during the day of bowel prep</w:t>
      </w:r>
    </w:p>
    <w:p w14:paraId="3D2B9D08" w14:textId="0B628477" w:rsidR="00541612" w:rsidRPr="00541612" w:rsidRDefault="00541612" w:rsidP="00541612">
      <w:pPr>
        <w:numPr>
          <w:ilvl w:val="3"/>
          <w:numId w:val="8"/>
        </w:numPr>
        <w:spacing w:after="0"/>
        <w:rPr>
          <w:rFonts w:cs="Tahoma"/>
        </w:rPr>
      </w:pPr>
      <w:r w:rsidRPr="00541612">
        <w:rPr>
          <w:rFonts w:cs="Tahoma"/>
        </w:rPr>
        <w:t>Blood glucose &lt;100</w:t>
      </w:r>
      <w:r w:rsidR="008F51AD">
        <w:rPr>
          <w:rFonts w:cs="Tahoma"/>
        </w:rPr>
        <w:t xml:space="preserve"> mg/dL</w:t>
      </w:r>
    </w:p>
    <w:p w14:paraId="4D3412D3" w14:textId="77777777" w:rsidR="00541612" w:rsidRPr="00541612" w:rsidRDefault="00541612" w:rsidP="00541612">
      <w:pPr>
        <w:numPr>
          <w:ilvl w:val="4"/>
          <w:numId w:val="8"/>
        </w:numPr>
        <w:spacing w:after="0"/>
        <w:rPr>
          <w:rFonts w:cs="Tahoma"/>
        </w:rPr>
      </w:pPr>
      <w:r w:rsidRPr="00541612">
        <w:rPr>
          <w:rFonts w:cs="Tahoma"/>
        </w:rPr>
        <w:t xml:space="preserve">Consider consuming clear liquids or </w:t>
      </w:r>
      <w:proofErr w:type="spellStart"/>
      <w:r w:rsidRPr="00541612">
        <w:rPr>
          <w:rFonts w:cs="Tahoma"/>
        </w:rPr>
        <w:t>Jell-o</w:t>
      </w:r>
      <w:proofErr w:type="spellEnd"/>
      <w:r w:rsidRPr="00541612">
        <w:rPr>
          <w:rFonts w:cs="Tahoma"/>
        </w:rPr>
        <w:t xml:space="preserve">® </w:t>
      </w:r>
      <w:r w:rsidRPr="00541612">
        <w:rPr>
          <w:rFonts w:cs="Tahoma"/>
          <w:i/>
        </w:rPr>
        <w:t>with</w:t>
      </w:r>
      <w:r w:rsidRPr="00541612">
        <w:rPr>
          <w:rFonts w:cs="Tahoma"/>
        </w:rPr>
        <w:t xml:space="preserve"> sugar</w:t>
      </w:r>
    </w:p>
    <w:p w14:paraId="61C2F71A" w14:textId="1E76D933" w:rsidR="00541612" w:rsidRPr="00541612" w:rsidRDefault="008F51AD" w:rsidP="00541612">
      <w:pPr>
        <w:numPr>
          <w:ilvl w:val="3"/>
          <w:numId w:val="8"/>
        </w:numPr>
        <w:spacing w:after="0"/>
        <w:rPr>
          <w:rFonts w:cs="Tahoma"/>
        </w:rPr>
      </w:pPr>
      <w:r>
        <w:rPr>
          <w:rFonts w:cs="Tahoma"/>
        </w:rPr>
        <w:t>Blood glucose &gt;200 mg/dL</w:t>
      </w:r>
    </w:p>
    <w:p w14:paraId="0F8E811B" w14:textId="77777777" w:rsidR="00541612" w:rsidRPr="00541612" w:rsidRDefault="00541612" w:rsidP="00541612">
      <w:pPr>
        <w:numPr>
          <w:ilvl w:val="4"/>
          <w:numId w:val="8"/>
        </w:numPr>
        <w:spacing w:after="0"/>
        <w:rPr>
          <w:rFonts w:cs="Tahoma"/>
        </w:rPr>
      </w:pPr>
      <w:r w:rsidRPr="00541612">
        <w:rPr>
          <w:rFonts w:cs="Tahoma"/>
        </w:rPr>
        <w:t xml:space="preserve">Consider consuming </w:t>
      </w:r>
      <w:r w:rsidRPr="00541612">
        <w:rPr>
          <w:rFonts w:cs="Tahoma"/>
          <w:i/>
        </w:rPr>
        <w:t xml:space="preserve">sugar-free </w:t>
      </w:r>
      <w:r w:rsidRPr="00541612">
        <w:rPr>
          <w:rFonts w:cs="Tahoma"/>
        </w:rPr>
        <w:t xml:space="preserve">liquids or </w:t>
      </w:r>
      <w:proofErr w:type="spellStart"/>
      <w:r w:rsidRPr="00541612">
        <w:rPr>
          <w:rFonts w:cs="Tahoma"/>
        </w:rPr>
        <w:t>Jell-o</w:t>
      </w:r>
      <w:proofErr w:type="spellEnd"/>
      <w:r w:rsidRPr="00541612">
        <w:rPr>
          <w:rFonts w:cs="Tahoma"/>
        </w:rPr>
        <w:t>®</w:t>
      </w:r>
    </w:p>
    <w:p w14:paraId="68FBA86C" w14:textId="77777777" w:rsidR="00541612" w:rsidRPr="00541612" w:rsidRDefault="00541612" w:rsidP="00541612">
      <w:pPr>
        <w:numPr>
          <w:ilvl w:val="2"/>
          <w:numId w:val="8"/>
        </w:numPr>
        <w:spacing w:after="0"/>
        <w:rPr>
          <w:rFonts w:cs="Tahoma"/>
        </w:rPr>
      </w:pPr>
      <w:r w:rsidRPr="00541612">
        <w:rPr>
          <w:rFonts w:cs="Tahoma"/>
        </w:rPr>
        <w:t xml:space="preserve"> Medications for day of bowel prep</w:t>
      </w:r>
    </w:p>
    <w:p w14:paraId="1979193E" w14:textId="0BA3BBE3" w:rsidR="00541612" w:rsidRPr="00541612" w:rsidRDefault="00541612" w:rsidP="00541612">
      <w:pPr>
        <w:numPr>
          <w:ilvl w:val="4"/>
          <w:numId w:val="8"/>
        </w:numPr>
        <w:spacing w:after="0"/>
        <w:rPr>
          <w:rFonts w:cs="Tahoma"/>
        </w:rPr>
      </w:pPr>
      <w:r w:rsidRPr="00541612">
        <w:rPr>
          <w:rFonts w:cs="Tahoma"/>
        </w:rPr>
        <w:t>Discuss with PCP or endocrinologist all adjustments in medications for diabetes, including oral agents, injected medicati</w:t>
      </w:r>
      <w:r w:rsidR="008F51AD">
        <w:rPr>
          <w:rFonts w:cs="Tahoma"/>
        </w:rPr>
        <w:t>ons, insulin, and pump settings</w:t>
      </w:r>
    </w:p>
    <w:p w14:paraId="55CA297A" w14:textId="77777777" w:rsidR="00541612" w:rsidRPr="00541612" w:rsidRDefault="00541612" w:rsidP="00541612">
      <w:pPr>
        <w:numPr>
          <w:ilvl w:val="1"/>
          <w:numId w:val="8"/>
        </w:numPr>
        <w:spacing w:after="0"/>
        <w:rPr>
          <w:rFonts w:cs="Tahoma"/>
        </w:rPr>
      </w:pPr>
      <w:r w:rsidRPr="00541612">
        <w:rPr>
          <w:rFonts w:cs="Tahoma"/>
        </w:rPr>
        <w:t>Day of procedure</w:t>
      </w:r>
    </w:p>
    <w:p w14:paraId="47A611E0" w14:textId="77777777" w:rsidR="00541612" w:rsidRPr="00541612" w:rsidRDefault="00541612" w:rsidP="00541612">
      <w:pPr>
        <w:numPr>
          <w:ilvl w:val="2"/>
          <w:numId w:val="8"/>
        </w:numPr>
        <w:spacing w:after="0"/>
        <w:rPr>
          <w:rFonts w:cs="Tahoma"/>
        </w:rPr>
      </w:pPr>
      <w:r w:rsidRPr="00541612">
        <w:rPr>
          <w:rFonts w:cs="Tahoma"/>
        </w:rPr>
        <w:t>Refer to appropriate sections for “day of procedure” outlined at beginning of guideline</w:t>
      </w:r>
    </w:p>
    <w:p w14:paraId="11EBA431" w14:textId="23DE2066" w:rsidR="00BC68C2" w:rsidRPr="00541612" w:rsidRDefault="00BC68C2" w:rsidP="00CE0481">
      <w:pPr>
        <w:tabs>
          <w:tab w:val="left" w:pos="8494"/>
        </w:tabs>
      </w:pPr>
    </w:p>
    <w:sectPr w:rsidR="00BC68C2" w:rsidRPr="00541612" w:rsidSect="00745B1A">
      <w:headerReference w:type="default" r:id="rId9"/>
      <w:footerReference w:type="default" r:id="rId10"/>
      <w:headerReference w:type="first" r:id="rId11"/>
      <w:footerReference w:type="first" r:id="rId12"/>
      <w:pgSz w:w="12240" w:h="15840"/>
      <w:pgMar w:top="1440" w:right="1080" w:bottom="1440" w:left="1080" w:header="45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B8824"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C8046" w14:textId="77777777" w:rsidR="00350E92" w:rsidRDefault="00350E92" w:rsidP="009723B0">
      <w:pPr>
        <w:spacing w:after="0" w:line="240" w:lineRule="auto"/>
      </w:pPr>
      <w:r>
        <w:separator/>
      </w:r>
    </w:p>
  </w:endnote>
  <w:endnote w:type="continuationSeparator" w:id="0">
    <w:p w14:paraId="63B91740" w14:textId="77777777" w:rsidR="00350E92" w:rsidRDefault="00350E92"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14:paraId="62C213F2" w14:textId="15C34634" w:rsidR="008F3F98" w:rsidRPr="00E06644" w:rsidRDefault="008F3F98"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41612">
              <w:rPr>
                <w:sz w:val="18"/>
                <w:szCs w:val="18"/>
              </w:rPr>
              <w:t>Dec-1</w:t>
            </w:r>
            <w:r w:rsidR="00DB7E1F">
              <w:rPr>
                <w:sz w:val="18"/>
                <w:szCs w:val="18"/>
              </w:rPr>
              <w:t>5</w:t>
            </w:r>
          </w:p>
          <w:p w14:paraId="4A841037" w14:textId="77777777" w:rsidR="004E7A1C" w:rsidRPr="00264813" w:rsidRDefault="008F3F98"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7A1C" w:rsidRPr="00C25938">
              <w:rPr>
                <w:sz w:val="18"/>
                <w:szCs w:val="18"/>
              </w:rPr>
              <w:t xml:space="preserve">Page </w:t>
            </w:r>
            <w:r w:rsidR="004E7A1C" w:rsidRPr="00C25938">
              <w:rPr>
                <w:bCs/>
                <w:sz w:val="18"/>
                <w:szCs w:val="18"/>
              </w:rPr>
              <w:fldChar w:fldCharType="begin"/>
            </w:r>
            <w:r w:rsidR="004E7A1C" w:rsidRPr="00C25938">
              <w:rPr>
                <w:bCs/>
                <w:sz w:val="18"/>
                <w:szCs w:val="18"/>
              </w:rPr>
              <w:instrText xml:space="preserve"> PAGE </w:instrText>
            </w:r>
            <w:r w:rsidR="004E7A1C" w:rsidRPr="00C25938">
              <w:rPr>
                <w:bCs/>
                <w:sz w:val="18"/>
                <w:szCs w:val="18"/>
              </w:rPr>
              <w:fldChar w:fldCharType="separate"/>
            </w:r>
            <w:r w:rsidR="00970462">
              <w:rPr>
                <w:bCs/>
                <w:noProof/>
                <w:sz w:val="18"/>
                <w:szCs w:val="18"/>
              </w:rPr>
              <w:t>1</w:t>
            </w:r>
            <w:r w:rsidR="004E7A1C" w:rsidRPr="00C25938">
              <w:rPr>
                <w:bCs/>
                <w:sz w:val="18"/>
                <w:szCs w:val="18"/>
              </w:rPr>
              <w:fldChar w:fldCharType="end"/>
            </w:r>
            <w:r w:rsidR="004E7A1C" w:rsidRPr="00C25938">
              <w:rPr>
                <w:sz w:val="18"/>
                <w:szCs w:val="18"/>
              </w:rPr>
              <w:t xml:space="preserve"> of </w:t>
            </w:r>
            <w:r w:rsidR="004E7A1C" w:rsidRPr="00C25938">
              <w:rPr>
                <w:bCs/>
                <w:sz w:val="18"/>
                <w:szCs w:val="18"/>
              </w:rPr>
              <w:fldChar w:fldCharType="begin"/>
            </w:r>
            <w:r w:rsidR="004E7A1C" w:rsidRPr="00C25938">
              <w:rPr>
                <w:bCs/>
                <w:sz w:val="18"/>
                <w:szCs w:val="18"/>
              </w:rPr>
              <w:instrText xml:space="preserve"> NUMPAGES  </w:instrText>
            </w:r>
            <w:r w:rsidR="004E7A1C" w:rsidRPr="00C25938">
              <w:rPr>
                <w:bCs/>
                <w:sz w:val="18"/>
                <w:szCs w:val="18"/>
              </w:rPr>
              <w:fldChar w:fldCharType="separate"/>
            </w:r>
            <w:r w:rsidR="00970462">
              <w:rPr>
                <w:bCs/>
                <w:noProof/>
                <w:sz w:val="18"/>
                <w:szCs w:val="18"/>
              </w:rPr>
              <w:t>3</w:t>
            </w:r>
            <w:r w:rsidR="004E7A1C"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14:paraId="4E5E145E" w14:textId="77777777" w:rsidR="00297488" w:rsidRDefault="00C25637" w:rsidP="00C25938">
            <w:pPr>
              <w:spacing w:after="0" w:line="240" w:lineRule="auto"/>
              <w:rPr>
                <w:sz w:val="18"/>
                <w:szCs w:val="18"/>
              </w:rPr>
            </w:pPr>
            <w:r>
              <w:rPr>
                <w:sz w:val="18"/>
                <w:szCs w:val="18"/>
              </w:rPr>
              <w:t>Shared</w:t>
            </w:r>
            <w:r w:rsidR="00E06644" w:rsidRPr="00E06644">
              <w:rPr>
                <w:sz w:val="18"/>
                <w:szCs w:val="18"/>
              </w:rPr>
              <w:t xml:space="preserve"> by ASHP Advantage</w:t>
            </w:r>
            <w:r w:rsidR="00297488">
              <w:rPr>
                <w:sz w:val="18"/>
                <w:szCs w:val="18"/>
              </w:rPr>
              <w:t xml:space="preserve"> </w:t>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BC68C2">
              <w:rPr>
                <w:sz w:val="18"/>
                <w:szCs w:val="18"/>
                <w:highlight w:val="yellow"/>
              </w:rPr>
              <w:fldChar w:fldCharType="begin"/>
            </w:r>
            <w:r w:rsidR="00BC68C2">
              <w:rPr>
                <w:sz w:val="18"/>
                <w:szCs w:val="18"/>
                <w:highlight w:val="yellow"/>
              </w:rPr>
              <w:instrText xml:space="preserve"> DATE  \@ "MMM-yy" </w:instrText>
            </w:r>
            <w:r w:rsidR="00BC68C2">
              <w:rPr>
                <w:sz w:val="18"/>
                <w:szCs w:val="18"/>
                <w:highlight w:val="yellow"/>
              </w:rPr>
              <w:fldChar w:fldCharType="separate"/>
            </w:r>
            <w:r w:rsidR="00970462">
              <w:rPr>
                <w:noProof/>
                <w:sz w:val="18"/>
                <w:szCs w:val="18"/>
                <w:highlight w:val="yellow"/>
              </w:rPr>
              <w:t>Aug-16</w:t>
            </w:r>
            <w:r w:rsidR="00BC68C2">
              <w:rPr>
                <w:sz w:val="18"/>
                <w:szCs w:val="18"/>
                <w:highlight w:val="yellow"/>
              </w:rPr>
              <w:fldChar w:fldCharType="end"/>
            </w:r>
            <w:r w:rsidR="00297488">
              <w:rPr>
                <w:sz w:val="18"/>
                <w:szCs w:val="18"/>
              </w:rPr>
              <w:tab/>
            </w:r>
          </w:p>
          <w:p w14:paraId="0A4026BB" w14:textId="77777777" w:rsidR="00264813" w:rsidRPr="00264813" w:rsidRDefault="00E06644"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264813" w:rsidRPr="00264813">
              <w:rPr>
                <w:sz w:val="18"/>
                <w:szCs w:val="18"/>
              </w:rPr>
              <w:t xml:space="preserve">Page </w:t>
            </w:r>
            <w:r w:rsidR="00264813" w:rsidRPr="00264813">
              <w:rPr>
                <w:bCs/>
                <w:sz w:val="18"/>
                <w:szCs w:val="18"/>
              </w:rPr>
              <w:fldChar w:fldCharType="begin"/>
            </w:r>
            <w:r w:rsidR="00264813" w:rsidRPr="00264813">
              <w:rPr>
                <w:bCs/>
                <w:sz w:val="18"/>
                <w:szCs w:val="18"/>
              </w:rPr>
              <w:instrText xml:space="preserve"> PAGE </w:instrText>
            </w:r>
            <w:r w:rsidR="00264813" w:rsidRPr="00264813">
              <w:rPr>
                <w:bCs/>
                <w:sz w:val="18"/>
                <w:szCs w:val="18"/>
              </w:rPr>
              <w:fldChar w:fldCharType="separate"/>
            </w:r>
            <w:r w:rsidR="00745B1A">
              <w:rPr>
                <w:bCs/>
                <w:noProof/>
                <w:sz w:val="18"/>
                <w:szCs w:val="18"/>
              </w:rPr>
              <w:t>1</w:t>
            </w:r>
            <w:r w:rsidR="00264813" w:rsidRPr="00264813">
              <w:rPr>
                <w:bCs/>
                <w:sz w:val="18"/>
                <w:szCs w:val="18"/>
              </w:rPr>
              <w:fldChar w:fldCharType="end"/>
            </w:r>
            <w:r w:rsidR="00264813" w:rsidRPr="00264813">
              <w:rPr>
                <w:sz w:val="18"/>
                <w:szCs w:val="18"/>
              </w:rPr>
              <w:t xml:space="preserve"> of </w:t>
            </w:r>
            <w:r w:rsidR="00264813" w:rsidRPr="00264813">
              <w:rPr>
                <w:bCs/>
                <w:sz w:val="18"/>
                <w:szCs w:val="18"/>
              </w:rPr>
              <w:fldChar w:fldCharType="begin"/>
            </w:r>
            <w:r w:rsidR="00264813" w:rsidRPr="00264813">
              <w:rPr>
                <w:bCs/>
                <w:sz w:val="18"/>
                <w:szCs w:val="18"/>
              </w:rPr>
              <w:instrText xml:space="preserve"> NUMPAGES  </w:instrText>
            </w:r>
            <w:r w:rsidR="00264813" w:rsidRPr="00264813">
              <w:rPr>
                <w:bCs/>
                <w:sz w:val="18"/>
                <w:szCs w:val="18"/>
              </w:rPr>
              <w:fldChar w:fldCharType="separate"/>
            </w:r>
            <w:r w:rsidR="00745B1A">
              <w:rPr>
                <w:bCs/>
                <w:noProof/>
                <w:sz w:val="18"/>
                <w:szCs w:val="18"/>
              </w:rPr>
              <w:t>2</w:t>
            </w:r>
            <w:r w:rsidR="00264813"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ED86" w14:textId="77777777" w:rsidR="00350E92" w:rsidRDefault="00350E92" w:rsidP="009723B0">
      <w:pPr>
        <w:spacing w:after="0" w:line="240" w:lineRule="auto"/>
      </w:pPr>
      <w:r>
        <w:separator/>
      </w:r>
    </w:p>
  </w:footnote>
  <w:footnote w:type="continuationSeparator" w:id="0">
    <w:p w14:paraId="3A4CD0AE" w14:textId="77777777" w:rsidR="00350E92" w:rsidRDefault="00350E92" w:rsidP="009723B0">
      <w:pPr>
        <w:spacing w:after="0" w:line="240" w:lineRule="auto"/>
      </w:pPr>
      <w:r>
        <w:continuationSeparator/>
      </w:r>
    </w:p>
  </w:footnote>
  <w:footnote w:id="1">
    <w:p w14:paraId="1FCF73A7" w14:textId="77777777" w:rsidR="00541612" w:rsidRPr="005D7552" w:rsidRDefault="00541612" w:rsidP="00541612">
      <w:pPr>
        <w:pStyle w:val="FootnoteText"/>
        <w:rPr>
          <w:rFonts w:ascii="Calibri" w:hAnsi="Calibri"/>
          <w:sz w:val="18"/>
          <w:szCs w:val="18"/>
        </w:rPr>
      </w:pPr>
      <w:r w:rsidRPr="005D7552">
        <w:rPr>
          <w:rStyle w:val="FootnoteReference"/>
          <w:rFonts w:ascii="Calibri" w:hAnsi="Calibri"/>
          <w:sz w:val="18"/>
          <w:szCs w:val="18"/>
        </w:rPr>
        <w:t>1</w:t>
      </w:r>
      <w:r w:rsidRPr="005D7552">
        <w:rPr>
          <w:rFonts w:ascii="Calibri" w:hAnsi="Calibri"/>
          <w:sz w:val="18"/>
          <w:szCs w:val="18"/>
        </w:rPr>
        <w:t xml:space="preserve">This recommendation only concerns patients who are outpatients prior to the operation / procedure. Mixed insulins are not available on </w:t>
      </w:r>
      <w:r w:rsidRPr="0066000C">
        <w:rPr>
          <w:rFonts w:ascii="Calibri" w:hAnsi="Calibri"/>
          <w:color w:val="FF0000"/>
          <w:sz w:val="18"/>
          <w:szCs w:val="18"/>
        </w:rPr>
        <w:t>[insert hospital name]</w:t>
      </w:r>
      <w:r w:rsidRPr="005D7552">
        <w:rPr>
          <w:rFonts w:ascii="Calibri" w:hAnsi="Calibri"/>
          <w:sz w:val="18"/>
          <w:szCs w:val="18"/>
        </w:rPr>
        <w:t xml:space="preserve"> formulary.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32"/>
      </w:rPr>
      <w:alias w:val="Title"/>
      <w:tag w:val=""/>
      <w:id w:val="1681551087"/>
      <w:placeholder>
        <w:docPart w:val="1BEDC33D052441B093CD22891626C304"/>
      </w:placeholder>
      <w:dataBinding w:prefixMappings="xmlns:ns0='http://purl.org/dc/elements/1.1/' xmlns:ns1='http://schemas.openxmlformats.org/package/2006/metadata/core-properties' " w:xpath="/ns1:coreProperties[1]/ns0:title[1]" w:storeItemID="{6C3C8BC8-F283-45AE-878A-BAB7291924A1}"/>
      <w:text/>
    </w:sdtPr>
    <w:sdtEndPr/>
    <w:sdtContent>
      <w:sdt>
        <w:sdtPr>
          <w:rPr>
            <w:b/>
            <w:sz w:val="28"/>
            <w:szCs w:val="32"/>
          </w:rPr>
          <w:alias w:val="Title"/>
          <w:tag w:val=""/>
          <w:id w:val="1567232724"/>
          <w:placeholder>
            <w:docPart w:val="1E43D50803DF4223A5C401EAD32BF393"/>
          </w:placeholder>
          <w:dataBinding w:prefixMappings="xmlns:ns0='http://purl.org/dc/elements/1.1/' xmlns:ns1='http://schemas.openxmlformats.org/package/2006/metadata/core-properties' " w:xpath="/ns1:coreProperties[1]/ns0:title[1]" w:storeItemID="{6C3C8BC8-F283-45AE-878A-BAB7291924A1}"/>
          <w:text/>
        </w:sdtPr>
        <w:sdtEndPr/>
        <w:sdtContent>
          <w:p w14:paraId="2263A1C3" w14:textId="77777777" w:rsidR="00745B1A" w:rsidRDefault="00541612" w:rsidP="00D61989">
            <w:pPr>
              <w:jc w:val="center"/>
            </w:pPr>
            <w:r w:rsidRPr="00541612">
              <w:rPr>
                <w:b/>
                <w:sz w:val="28"/>
                <w:szCs w:val="32"/>
              </w:rPr>
              <w:t>Sample Guidelines: Preoperative/Preprocedure Glucose Management for Patients with Known Diabetes</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30EAF" w14:textId="77777777" w:rsidR="00A24E5E" w:rsidRDefault="00A24E5E" w:rsidP="00DB7745">
    <w:pPr>
      <w:spacing w:after="0"/>
      <w:jc w:val="center"/>
      <w:rPr>
        <w:b/>
        <w:sz w:val="28"/>
        <w:szCs w:val="32"/>
      </w:rPr>
    </w:pPr>
    <w:r>
      <w:rPr>
        <w:b/>
        <w:sz w:val="28"/>
        <w:szCs w:val="32"/>
      </w:rPr>
      <w:t>Enter document title here to automatically place on subsequent headers</w:t>
    </w:r>
  </w:p>
  <w:p w14:paraId="5E270A64" w14:textId="77777777" w:rsidR="009723B0" w:rsidRPr="00264813" w:rsidRDefault="009723B0"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BAA"/>
    <w:multiLevelType w:val="hybridMultilevel"/>
    <w:tmpl w:val="DC2AF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D602F"/>
    <w:multiLevelType w:val="hybridMultilevel"/>
    <w:tmpl w:val="DC2AF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F52E1"/>
    <w:multiLevelType w:val="hybridMultilevel"/>
    <w:tmpl w:val="A5DC6E0C"/>
    <w:lvl w:ilvl="0" w:tplc="29503E52">
      <w:start w:val="1"/>
      <w:numFmt w:val="decimal"/>
      <w:lvlText w:val="%1."/>
      <w:lvlJc w:val="left"/>
      <w:pPr>
        <w:tabs>
          <w:tab w:val="num" w:pos="765"/>
        </w:tabs>
        <w:ind w:left="765" w:hanging="360"/>
      </w:pPr>
      <w:rPr>
        <w:rFonts w:hint="default"/>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9">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9"/>
  </w:num>
  <w:num w:numId="2">
    <w:abstractNumId w:val="8"/>
  </w:num>
  <w:num w:numId="3">
    <w:abstractNumId w:val="5"/>
  </w:num>
  <w:num w:numId="4">
    <w:abstractNumId w:val="2"/>
  </w:num>
  <w:num w:numId="5">
    <w:abstractNumId w:val="3"/>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156A61"/>
    <w:rsid w:val="001578A9"/>
    <w:rsid w:val="001B375C"/>
    <w:rsid w:val="00264813"/>
    <w:rsid w:val="00267E57"/>
    <w:rsid w:val="00297488"/>
    <w:rsid w:val="00306A71"/>
    <w:rsid w:val="003233B1"/>
    <w:rsid w:val="00335279"/>
    <w:rsid w:val="003458A7"/>
    <w:rsid w:val="00350E92"/>
    <w:rsid w:val="003776B0"/>
    <w:rsid w:val="00426CD8"/>
    <w:rsid w:val="00432DCE"/>
    <w:rsid w:val="004466D1"/>
    <w:rsid w:val="004C218A"/>
    <w:rsid w:val="004E7A1C"/>
    <w:rsid w:val="004F4F32"/>
    <w:rsid w:val="00505808"/>
    <w:rsid w:val="00541612"/>
    <w:rsid w:val="00556653"/>
    <w:rsid w:val="005C693F"/>
    <w:rsid w:val="005F7A54"/>
    <w:rsid w:val="006C0F0D"/>
    <w:rsid w:val="006D45DC"/>
    <w:rsid w:val="00745B1A"/>
    <w:rsid w:val="0080635D"/>
    <w:rsid w:val="00831C00"/>
    <w:rsid w:val="008848FD"/>
    <w:rsid w:val="008B63B0"/>
    <w:rsid w:val="008C6F87"/>
    <w:rsid w:val="008F3F98"/>
    <w:rsid w:val="008F51AD"/>
    <w:rsid w:val="009165A7"/>
    <w:rsid w:val="00947AD3"/>
    <w:rsid w:val="00970462"/>
    <w:rsid w:val="009723B0"/>
    <w:rsid w:val="009753A6"/>
    <w:rsid w:val="009C271F"/>
    <w:rsid w:val="009D07BD"/>
    <w:rsid w:val="00A24E5E"/>
    <w:rsid w:val="00A348BB"/>
    <w:rsid w:val="00A9636C"/>
    <w:rsid w:val="00AB2122"/>
    <w:rsid w:val="00AD2A76"/>
    <w:rsid w:val="00AE39D7"/>
    <w:rsid w:val="00AF7C6A"/>
    <w:rsid w:val="00B51397"/>
    <w:rsid w:val="00B6624B"/>
    <w:rsid w:val="00BC68C2"/>
    <w:rsid w:val="00C06233"/>
    <w:rsid w:val="00C25637"/>
    <w:rsid w:val="00C25938"/>
    <w:rsid w:val="00C55567"/>
    <w:rsid w:val="00C96FC6"/>
    <w:rsid w:val="00CE0481"/>
    <w:rsid w:val="00D12389"/>
    <w:rsid w:val="00D1603D"/>
    <w:rsid w:val="00D61989"/>
    <w:rsid w:val="00D84268"/>
    <w:rsid w:val="00DB7745"/>
    <w:rsid w:val="00DB7E1F"/>
    <w:rsid w:val="00DD751C"/>
    <w:rsid w:val="00E06644"/>
    <w:rsid w:val="00E132C4"/>
    <w:rsid w:val="00E92CFF"/>
    <w:rsid w:val="00EC07E1"/>
    <w:rsid w:val="00EE5B29"/>
    <w:rsid w:val="00F16140"/>
    <w:rsid w:val="00F2143A"/>
    <w:rsid w:val="00F2325A"/>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paragraph" w:styleId="FootnoteText">
    <w:name w:val="footnote text"/>
    <w:basedOn w:val="Normal"/>
    <w:link w:val="FootnoteTextChar"/>
    <w:uiPriority w:val="99"/>
    <w:semiHidden/>
    <w:unhideWhenUsed/>
    <w:rsid w:val="00541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612"/>
    <w:rPr>
      <w:sz w:val="20"/>
      <w:szCs w:val="20"/>
    </w:rPr>
  </w:style>
  <w:style w:type="character" w:styleId="FootnoteReference">
    <w:name w:val="footnote reference"/>
    <w:semiHidden/>
    <w:unhideWhenUsed/>
    <w:rsid w:val="00541612"/>
    <w:rPr>
      <w:vertAlign w:val="superscript"/>
    </w:rPr>
  </w:style>
  <w:style w:type="character" w:styleId="CommentReference">
    <w:name w:val="annotation reference"/>
    <w:basedOn w:val="DefaultParagraphFont"/>
    <w:uiPriority w:val="99"/>
    <w:semiHidden/>
    <w:unhideWhenUsed/>
    <w:rsid w:val="00541612"/>
    <w:rPr>
      <w:sz w:val="16"/>
      <w:szCs w:val="16"/>
    </w:rPr>
  </w:style>
  <w:style w:type="paragraph" w:styleId="CommentText">
    <w:name w:val="annotation text"/>
    <w:basedOn w:val="Normal"/>
    <w:link w:val="CommentTextChar"/>
    <w:uiPriority w:val="99"/>
    <w:semiHidden/>
    <w:unhideWhenUsed/>
    <w:rsid w:val="00541612"/>
    <w:pPr>
      <w:spacing w:line="240" w:lineRule="auto"/>
    </w:pPr>
    <w:rPr>
      <w:sz w:val="20"/>
      <w:szCs w:val="20"/>
    </w:rPr>
  </w:style>
  <w:style w:type="character" w:customStyle="1" w:styleId="CommentTextChar">
    <w:name w:val="Comment Text Char"/>
    <w:basedOn w:val="DefaultParagraphFont"/>
    <w:link w:val="CommentText"/>
    <w:uiPriority w:val="99"/>
    <w:semiHidden/>
    <w:rsid w:val="005416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paragraph" w:styleId="FootnoteText">
    <w:name w:val="footnote text"/>
    <w:basedOn w:val="Normal"/>
    <w:link w:val="FootnoteTextChar"/>
    <w:uiPriority w:val="99"/>
    <w:semiHidden/>
    <w:unhideWhenUsed/>
    <w:rsid w:val="00541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612"/>
    <w:rPr>
      <w:sz w:val="20"/>
      <w:szCs w:val="20"/>
    </w:rPr>
  </w:style>
  <w:style w:type="character" w:styleId="FootnoteReference">
    <w:name w:val="footnote reference"/>
    <w:semiHidden/>
    <w:unhideWhenUsed/>
    <w:rsid w:val="00541612"/>
    <w:rPr>
      <w:vertAlign w:val="superscript"/>
    </w:rPr>
  </w:style>
  <w:style w:type="character" w:styleId="CommentReference">
    <w:name w:val="annotation reference"/>
    <w:basedOn w:val="DefaultParagraphFont"/>
    <w:uiPriority w:val="99"/>
    <w:semiHidden/>
    <w:unhideWhenUsed/>
    <w:rsid w:val="00541612"/>
    <w:rPr>
      <w:sz w:val="16"/>
      <w:szCs w:val="16"/>
    </w:rPr>
  </w:style>
  <w:style w:type="paragraph" w:styleId="CommentText">
    <w:name w:val="annotation text"/>
    <w:basedOn w:val="Normal"/>
    <w:link w:val="CommentTextChar"/>
    <w:uiPriority w:val="99"/>
    <w:semiHidden/>
    <w:unhideWhenUsed/>
    <w:rsid w:val="00541612"/>
    <w:pPr>
      <w:spacing w:line="240" w:lineRule="auto"/>
    </w:pPr>
    <w:rPr>
      <w:sz w:val="20"/>
      <w:szCs w:val="20"/>
    </w:rPr>
  </w:style>
  <w:style w:type="character" w:customStyle="1" w:styleId="CommentTextChar">
    <w:name w:val="Comment Text Char"/>
    <w:basedOn w:val="DefaultParagraphFont"/>
    <w:link w:val="CommentText"/>
    <w:uiPriority w:val="99"/>
    <w:semiHidden/>
    <w:rsid w:val="005416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43D50803DF4223A5C401EAD32BF393"/>
        <w:category>
          <w:name w:val="General"/>
          <w:gallery w:val="placeholder"/>
        </w:category>
        <w:types>
          <w:type w:val="bbPlcHdr"/>
        </w:types>
        <w:behaviors>
          <w:behavior w:val="content"/>
        </w:behaviors>
        <w:guid w:val="{57DC14F1-1875-43B3-BE62-7D9ADF83D557}"/>
      </w:docPartPr>
      <w:docPartBody>
        <w:p w:rsidR="00B14214" w:rsidRDefault="00B14214" w:rsidP="00B14214">
          <w:pPr>
            <w:pStyle w:val="1E43D50803DF4223A5C401EAD32BF393"/>
          </w:pPr>
          <w:r w:rsidRPr="001E732A">
            <w:rPr>
              <w:rStyle w:val="PlaceholderText"/>
            </w:rPr>
            <w:t>[Title]</w:t>
          </w:r>
        </w:p>
      </w:docPartBody>
    </w:docPart>
    <w:docPart>
      <w:docPartPr>
        <w:name w:val="1BEDC33D052441B093CD22891626C304"/>
        <w:category>
          <w:name w:val="General"/>
          <w:gallery w:val="placeholder"/>
        </w:category>
        <w:types>
          <w:type w:val="bbPlcHdr"/>
        </w:types>
        <w:behaviors>
          <w:behavior w:val="content"/>
        </w:behaviors>
        <w:guid w:val="{2BDED94A-BB0E-4138-BAAB-1538CB3755E4}"/>
      </w:docPartPr>
      <w:docPartBody>
        <w:p w:rsidR="008234C1" w:rsidRDefault="00706ABB">
          <w:pPr>
            <w:pStyle w:val="1BEDC33D052441B093CD22891626C304"/>
          </w:pPr>
          <w:r w:rsidRPr="001E732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3A"/>
    <w:rsid w:val="00032796"/>
    <w:rsid w:val="00220B69"/>
    <w:rsid w:val="006020BB"/>
    <w:rsid w:val="0069625F"/>
    <w:rsid w:val="00706ABB"/>
    <w:rsid w:val="0077651C"/>
    <w:rsid w:val="007B382E"/>
    <w:rsid w:val="007E41A2"/>
    <w:rsid w:val="008234C1"/>
    <w:rsid w:val="00873A17"/>
    <w:rsid w:val="00A865D5"/>
    <w:rsid w:val="00B14214"/>
    <w:rsid w:val="00BA4281"/>
    <w:rsid w:val="00BB4A3A"/>
    <w:rsid w:val="00D132D6"/>
    <w:rsid w:val="00E23E46"/>
    <w:rsid w:val="00E92C69"/>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C84153C4254E9BB7F3ED82A2B9A12D">
    <w:name w:val="D3C84153C4254E9BB7F3ED82A2B9A12D"/>
  </w:style>
  <w:style w:type="paragraph" w:customStyle="1" w:styleId="F6CA5375928C4AF297A6D844D4EC6BDB">
    <w:name w:val="F6CA5375928C4AF297A6D844D4EC6BDB"/>
    <w:rsid w:val="00E92C69"/>
  </w:style>
  <w:style w:type="paragraph" w:customStyle="1" w:styleId="C95D16AC5F7F49A5A7D60C4413A18D14">
    <w:name w:val="C95D16AC5F7F49A5A7D60C4413A18D14"/>
    <w:rsid w:val="006020BB"/>
    <w:pPr>
      <w:spacing w:after="160" w:line="259" w:lineRule="auto"/>
    </w:pPr>
  </w:style>
  <w:style w:type="paragraph" w:customStyle="1" w:styleId="1E43D50803DF4223A5C401EAD32BF393">
    <w:name w:val="1E43D50803DF4223A5C401EAD32BF393"/>
    <w:rsid w:val="00B14214"/>
    <w:pPr>
      <w:spacing w:after="160" w:line="259" w:lineRule="auto"/>
    </w:pPr>
  </w:style>
  <w:style w:type="paragraph" w:customStyle="1" w:styleId="1BEDC33D052441B093CD22891626C304">
    <w:name w:val="1BEDC33D052441B093CD22891626C30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C84153C4254E9BB7F3ED82A2B9A12D">
    <w:name w:val="D3C84153C4254E9BB7F3ED82A2B9A12D"/>
  </w:style>
  <w:style w:type="paragraph" w:customStyle="1" w:styleId="F6CA5375928C4AF297A6D844D4EC6BDB">
    <w:name w:val="F6CA5375928C4AF297A6D844D4EC6BDB"/>
    <w:rsid w:val="00E92C69"/>
  </w:style>
  <w:style w:type="paragraph" w:customStyle="1" w:styleId="C95D16AC5F7F49A5A7D60C4413A18D14">
    <w:name w:val="C95D16AC5F7F49A5A7D60C4413A18D14"/>
    <w:rsid w:val="006020BB"/>
    <w:pPr>
      <w:spacing w:after="160" w:line="259" w:lineRule="auto"/>
    </w:pPr>
  </w:style>
  <w:style w:type="paragraph" w:customStyle="1" w:styleId="1E43D50803DF4223A5C401EAD32BF393">
    <w:name w:val="1E43D50803DF4223A5C401EAD32BF393"/>
    <w:rsid w:val="00B14214"/>
    <w:pPr>
      <w:spacing w:after="160" w:line="259" w:lineRule="auto"/>
    </w:pPr>
  </w:style>
  <w:style w:type="paragraph" w:customStyle="1" w:styleId="1BEDC33D052441B093CD22891626C304">
    <w:name w:val="1BEDC33D052441B093CD22891626C3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7299-EF91-4825-83D1-CD72EA60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Guidelines: Preoperative/Preprocedure Glucose Management for Patients with Known Diabetes</vt:lpstr>
    </vt:vector>
  </TitlesOfParts>
  <Company>American Society of Health-System Pharmacists</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Guidelines: Preoperative/Preprocedure Glucose Management for Patients with Known Diabetes</dc:title>
  <dc:creator>Jennifer Perrell</dc:creator>
  <cp:lastModifiedBy>Carla Brink</cp:lastModifiedBy>
  <cp:revision>1</cp:revision>
  <dcterms:created xsi:type="dcterms:W3CDTF">2014-08-13T04:15:00Z</dcterms:created>
  <dcterms:modified xsi:type="dcterms:W3CDTF">2016-08-08T01:38:00Z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